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8D" w:rsidRDefault="00B9408D" w:rsidP="00B9408D">
      <w:pPr>
        <w:pStyle w:val="Title"/>
      </w:pPr>
      <w:r>
        <w:t>Open licensing of Intellectual Property</w:t>
      </w:r>
      <w:r w:rsidR="00FB4207">
        <w:t>: Considerations for the University of the Free State Intellectual Property Policy</w:t>
      </w:r>
    </w:p>
    <w:p w:rsidR="00D017FB" w:rsidRDefault="00D017FB" w:rsidP="00D017FB">
      <w:pPr>
        <w:pStyle w:val="Heading1"/>
        <w:numPr>
          <w:ilvl w:val="0"/>
          <w:numId w:val="0"/>
        </w:numPr>
      </w:pPr>
      <w:r>
        <w:t>Background</w:t>
      </w:r>
    </w:p>
    <w:p w:rsidR="008A3B93" w:rsidRPr="00F12A90" w:rsidRDefault="00B9408D" w:rsidP="00FB4207">
      <w:r w:rsidRPr="00F12A90">
        <w:t>Works that are published without an explicit licen</w:t>
      </w:r>
      <w:r w:rsidR="00C01BCD">
        <w:t>c</w:t>
      </w:r>
      <w:r w:rsidRPr="00F12A90">
        <w:t>e are subject to copyright laws, which differ per jurisdiction.</w:t>
      </w:r>
      <w:r w:rsidR="00FB4207">
        <w:t xml:space="preserve"> </w:t>
      </w:r>
      <w:r w:rsidRPr="00F12A90">
        <w:t xml:space="preserve">Copyright laws give exclusive rights to the copyright holder – including the right to produce copies as well as derivative works. Copyright prohibits those other than the copyright holder from redistributing and reuse of the work. </w:t>
      </w:r>
      <w:r w:rsidR="005B2F04" w:rsidRPr="00F12A90">
        <w:t>In terms of the UFS IP Policy, where UFS owns the copyright of intellectual property, there is an option to apply an open licence to such works. An open licen</w:t>
      </w:r>
      <w:r w:rsidR="00C01BCD">
        <w:t>c</w:t>
      </w:r>
      <w:r w:rsidR="005B2F04" w:rsidRPr="00F12A90">
        <w:t xml:space="preserve">e in no way </w:t>
      </w:r>
      <w:r w:rsidRPr="00F12A90">
        <w:t>diminishes or negates</w:t>
      </w:r>
      <w:r w:rsidR="005B2F04" w:rsidRPr="00F12A90">
        <w:t xml:space="preserve"> copyright</w:t>
      </w:r>
      <w:r w:rsidRPr="00F12A90">
        <w:t xml:space="preserve"> law</w:t>
      </w:r>
      <w:r w:rsidR="005B2F04" w:rsidRPr="00F12A90">
        <w:t>, it merely grants permissions and states restrictions in respect of such</w:t>
      </w:r>
      <w:r w:rsidRPr="00F12A90">
        <w:t xml:space="preserve"> copyrighted</w:t>
      </w:r>
      <w:r w:rsidR="005B2F04" w:rsidRPr="00F12A90">
        <w:t xml:space="preserve"> work, so that it is not necessary </w:t>
      </w:r>
      <w:r w:rsidRPr="00F12A90">
        <w:t xml:space="preserve">for a third party </w:t>
      </w:r>
      <w:r w:rsidR="005B2F04" w:rsidRPr="00F12A90">
        <w:t>to contact the author of the work</w:t>
      </w:r>
      <w:r w:rsidRPr="00F12A90">
        <w:t xml:space="preserve"> in the situations stipulated in the licence</w:t>
      </w:r>
      <w:r w:rsidR="005B2F04" w:rsidRPr="00F12A90">
        <w:t>.</w:t>
      </w:r>
      <w:r w:rsidRPr="00F12A90">
        <w:t xml:space="preserve"> Open licen</w:t>
      </w:r>
      <w:r w:rsidR="00C01BCD">
        <w:t>c</w:t>
      </w:r>
      <w:r w:rsidRPr="00F12A90">
        <w:t>es enable the owner of the copyright to allow more freedom in what others can do with their work.</w:t>
      </w:r>
    </w:p>
    <w:p w:rsidR="00EF0421" w:rsidRPr="00F12A90" w:rsidRDefault="00EF0421" w:rsidP="00FB4207">
      <w:r w:rsidRPr="00F12A90">
        <w:t>Education</w:t>
      </w:r>
      <w:r w:rsidR="001A7182">
        <w:t>al resources, journal articles</w:t>
      </w:r>
      <w:r w:rsidR="00FB4207">
        <w:t>,</w:t>
      </w:r>
      <w:r w:rsidR="001A7182">
        <w:t xml:space="preserve"> and </w:t>
      </w:r>
      <w:r w:rsidRPr="00F12A90">
        <w:t>data are all subject to copyright restrictions</w:t>
      </w:r>
      <w:r w:rsidR="0077349F" w:rsidRPr="00F12A90">
        <w:t xml:space="preserve"> and can therefore have open </w:t>
      </w:r>
      <w:r w:rsidR="00C01BCD">
        <w:t>licence</w:t>
      </w:r>
      <w:r w:rsidR="0077349F" w:rsidRPr="00F12A90">
        <w:t>s applied.</w:t>
      </w:r>
    </w:p>
    <w:p w:rsidR="00C324E3" w:rsidRPr="00C324E3" w:rsidRDefault="00C324E3" w:rsidP="006D4645">
      <w:pPr>
        <w:pStyle w:val="Heading1"/>
        <w:numPr>
          <w:ilvl w:val="0"/>
          <w:numId w:val="0"/>
        </w:numPr>
        <w:spacing w:before="120"/>
        <w:ind w:left="357" w:hanging="357"/>
      </w:pPr>
      <w:r w:rsidRPr="00C324E3">
        <w:t>K</w:t>
      </w:r>
      <w:r w:rsidR="000D08C4">
        <w:t>ey terms</w:t>
      </w:r>
    </w:p>
    <w:p w:rsidR="00C324E3" w:rsidRPr="00F12A90" w:rsidRDefault="00C324E3" w:rsidP="00C324E3">
      <w:pPr>
        <w:rPr>
          <w:i/>
          <w:iCs/>
        </w:rPr>
      </w:pPr>
      <w:r w:rsidRPr="00F12A90">
        <w:rPr>
          <w:i/>
          <w:iCs/>
        </w:rPr>
        <w:t>Open Educational Resources (OER)</w:t>
      </w:r>
    </w:p>
    <w:p w:rsidR="00C324E3" w:rsidRPr="00F12A90" w:rsidRDefault="00C324E3" w:rsidP="00FB4207">
      <w:r w:rsidRPr="00F12A90">
        <w:t xml:space="preserve">OER are teaching, learning, and research resources that reside in the public domain or have been released under an intellectual property </w:t>
      </w:r>
      <w:r w:rsidR="00C01BCD">
        <w:t>licence</w:t>
      </w:r>
      <w:r w:rsidRPr="00F12A90">
        <w:t xml:space="preserve"> that permits their free use and re-purposing by others. Open educational resources include full courses, course materials, modules, textbooks, streaming videos, tests, software, and any other tools, materials, or techniques used to support access to knowledge</w:t>
      </w:r>
      <w:r w:rsidRPr="00F12A90">
        <w:rPr>
          <w:rStyle w:val="FootnoteReference"/>
        </w:rPr>
        <w:footnoteReference w:id="1"/>
      </w:r>
      <w:r w:rsidRPr="00F12A90">
        <w:t>.</w:t>
      </w:r>
    </w:p>
    <w:p w:rsidR="000D08C4" w:rsidRPr="00F12A90" w:rsidRDefault="00C324E3" w:rsidP="000D08C4">
      <w:pPr>
        <w:jc w:val="both"/>
        <w:rPr>
          <w:i/>
          <w:iCs/>
        </w:rPr>
      </w:pPr>
      <w:r w:rsidRPr="00F12A90">
        <w:rPr>
          <w:i/>
          <w:iCs/>
        </w:rPr>
        <w:t>O</w:t>
      </w:r>
      <w:r w:rsidR="000D08C4" w:rsidRPr="00F12A90">
        <w:rPr>
          <w:i/>
          <w:iCs/>
        </w:rPr>
        <w:t xml:space="preserve">pen </w:t>
      </w:r>
      <w:r w:rsidRPr="00F12A90">
        <w:rPr>
          <w:i/>
          <w:iCs/>
        </w:rPr>
        <w:t>A</w:t>
      </w:r>
      <w:r w:rsidR="000D08C4" w:rsidRPr="00F12A90">
        <w:rPr>
          <w:i/>
          <w:iCs/>
        </w:rPr>
        <w:t>ccess</w:t>
      </w:r>
      <w:r w:rsidRPr="00F12A90">
        <w:rPr>
          <w:i/>
          <w:iCs/>
        </w:rPr>
        <w:t xml:space="preserve"> </w:t>
      </w:r>
      <w:r w:rsidR="001A7182">
        <w:rPr>
          <w:i/>
          <w:iCs/>
        </w:rPr>
        <w:t>publishing (OA)</w:t>
      </w:r>
    </w:p>
    <w:p w:rsidR="00C324E3" w:rsidRPr="00F12A90" w:rsidRDefault="00C324E3" w:rsidP="00FB4207">
      <w:pPr>
        <w:rPr>
          <w:rFonts w:ascii="Times New Roman" w:hAnsi="Times New Roman"/>
          <w:lang w:eastAsia="en-ZA" w:bidi="he-IL"/>
        </w:rPr>
      </w:pPr>
      <w:r w:rsidRPr="00F12A90">
        <w:t>Generally, Open Access refers to research articles that are freely and openly available to the public for reading, reviewing, and making and distributing derivative works.</w:t>
      </w:r>
      <w:r w:rsidRPr="00F12A90">
        <w:rPr>
          <w:rStyle w:val="FootnoteReference"/>
          <w:rFonts w:eastAsia="MS Mincho"/>
        </w:rPr>
        <w:footnoteReference w:id="2"/>
      </w:r>
      <w:r w:rsidRPr="00F12A90">
        <w:t xml:space="preserve"> OA literature is digital, online, free of charge, and free of most copyright and licensing restrictions. It is made possible by the Internet and the consent of the author or copyright-holder.</w:t>
      </w:r>
      <w:r w:rsidRPr="00F12A90">
        <w:rPr>
          <w:rStyle w:val="FootnoteReference"/>
          <w:rFonts w:eastAsia="MS Mincho"/>
        </w:rPr>
        <w:footnoteReference w:id="3"/>
      </w:r>
      <w:r w:rsidRPr="00F12A90">
        <w:t xml:space="preserve"> Open Access publishing is compatible with peer-review, and open access articles typically go through normal refereeing and editorial processes.</w:t>
      </w:r>
      <w:r w:rsidRPr="00F12A90">
        <w:rPr>
          <w:rStyle w:val="FootnoteReference"/>
          <w:rFonts w:eastAsia="MS Mincho"/>
        </w:rPr>
        <w:footnoteReference w:id="4"/>
      </w:r>
      <w:r w:rsidRPr="00F12A90">
        <w:rPr>
          <w:rFonts w:ascii="Times New Roman" w:hAnsi="Times New Roman"/>
          <w:lang w:eastAsia="en-ZA" w:bidi="he-IL"/>
        </w:rPr>
        <w:t xml:space="preserve"> </w:t>
      </w:r>
    </w:p>
    <w:p w:rsidR="00C324E3" w:rsidRPr="00F12A90" w:rsidRDefault="00C324E3" w:rsidP="00FB4207">
      <w:pPr>
        <w:keepNext/>
        <w:jc w:val="both"/>
        <w:rPr>
          <w:i/>
          <w:iCs/>
        </w:rPr>
      </w:pPr>
      <w:r w:rsidRPr="00F12A90">
        <w:rPr>
          <w:i/>
          <w:iCs/>
        </w:rPr>
        <w:t xml:space="preserve">Open data </w:t>
      </w:r>
    </w:p>
    <w:p w:rsidR="00C324E3" w:rsidRPr="00F12A90" w:rsidRDefault="00C324E3" w:rsidP="00FB4207">
      <w:pPr>
        <w:rPr>
          <w:rFonts w:ascii="Times New Roman" w:hAnsi="Times New Roman"/>
          <w:lang w:eastAsia="en-ZA" w:bidi="he-IL"/>
        </w:rPr>
      </w:pPr>
      <w:r w:rsidRPr="00F12A90">
        <w:t>Open data refers to data that can be freely used, shared, and built on by anyone, anywhere, for any purpose.</w:t>
      </w:r>
      <w:r w:rsidRPr="00F12A90">
        <w:rPr>
          <w:rStyle w:val="FootnoteReference"/>
          <w:rFonts w:eastAsia="MS Mincho"/>
        </w:rPr>
        <w:footnoteReference w:id="5"/>
      </w:r>
      <w:r w:rsidRPr="00F12A90">
        <w:rPr>
          <w:rStyle w:val="FootnoteReference"/>
          <w:rFonts w:eastAsia="MS Mincho"/>
        </w:rPr>
        <w:t xml:space="preserve"> </w:t>
      </w:r>
      <w:r w:rsidRPr="00F12A90">
        <w:t xml:space="preserve">It is usually non-personally identifiable data produced in the course of an organization’s ordinary business, which has been released under an unrestricted </w:t>
      </w:r>
      <w:r w:rsidR="00C01BCD">
        <w:t>licence</w:t>
      </w:r>
      <w:r w:rsidRPr="00F12A90">
        <w:t xml:space="preserve"> (like the Open Government </w:t>
      </w:r>
      <w:r w:rsidR="00C01BCD">
        <w:t>Licence</w:t>
      </w:r>
      <w:r w:rsidRPr="00F12A90">
        <w:t xml:space="preserve"> – see </w:t>
      </w:r>
      <w:hyperlink r:id="rId8" w:history="1">
        <w:r w:rsidRPr="00F12A90">
          <w:rPr>
            <w:rStyle w:val="Hyperlink"/>
          </w:rPr>
          <w:t>http://www.nationalarchives.gov.uk/doc/open-government-license/version/2/</w:t>
        </w:r>
      </w:hyperlink>
      <w:r w:rsidRPr="00F12A90">
        <w:t>).</w:t>
      </w:r>
      <w:r w:rsidRPr="00F12A90">
        <w:rPr>
          <w:rStyle w:val="FootnoteReference"/>
          <w:rFonts w:eastAsia="MS Mincho"/>
        </w:rPr>
        <w:footnoteReference w:id="6"/>
      </w:r>
      <w:r w:rsidRPr="00F12A90">
        <w:rPr>
          <w:rFonts w:ascii="Times New Roman" w:hAnsi="Times New Roman"/>
          <w:lang w:eastAsia="en-ZA" w:bidi="he-IL"/>
        </w:rPr>
        <w:t xml:space="preserve"> </w:t>
      </w:r>
    </w:p>
    <w:p w:rsidR="00EF0421" w:rsidRDefault="00EF0421" w:rsidP="006D4645">
      <w:pPr>
        <w:pStyle w:val="Heading1"/>
        <w:numPr>
          <w:ilvl w:val="0"/>
          <w:numId w:val="0"/>
        </w:numPr>
        <w:spacing w:before="120"/>
        <w:ind w:left="357" w:hanging="357"/>
      </w:pPr>
      <w:r>
        <w:t>Educational resources</w:t>
      </w:r>
      <w:r w:rsidR="00936954">
        <w:t xml:space="preserve"> and</w:t>
      </w:r>
      <w:r w:rsidR="007E095F">
        <w:t xml:space="preserve"> </w:t>
      </w:r>
      <w:r>
        <w:t>publishing</w:t>
      </w:r>
      <w:r w:rsidR="007E095F">
        <w:t xml:space="preserve"> </w:t>
      </w:r>
    </w:p>
    <w:p w:rsidR="0077349F" w:rsidRPr="00F12A90" w:rsidRDefault="00EF0421" w:rsidP="0077349F">
      <w:r w:rsidRPr="00F12A90">
        <w:t xml:space="preserve">Creative Commons or CC </w:t>
      </w:r>
      <w:r w:rsidR="00C01BCD">
        <w:t>Licence</w:t>
      </w:r>
      <w:r w:rsidR="00FB4207">
        <w:t>s are a global standardiz</w:t>
      </w:r>
      <w:r w:rsidRPr="00F12A90">
        <w:t xml:space="preserve">ed way of openly licensing </w:t>
      </w:r>
      <w:r w:rsidR="0077349F" w:rsidRPr="00F12A90">
        <w:t xml:space="preserve">all types of </w:t>
      </w:r>
      <w:r w:rsidR="00C01BCD" w:rsidRPr="00F12A90">
        <w:t>content;</w:t>
      </w:r>
      <w:r w:rsidR="0077349F" w:rsidRPr="00F12A90">
        <w:t xml:space="preserve"> they do not apply to software.</w:t>
      </w:r>
      <w:r w:rsidR="00FB4207">
        <w:t xml:space="preserve"> </w:t>
      </w:r>
      <w:r w:rsidR="0077349F" w:rsidRPr="00F12A90">
        <w:t xml:space="preserve">Certain baseline </w:t>
      </w:r>
      <w:proofErr w:type="gramStart"/>
      <w:r w:rsidR="0077349F" w:rsidRPr="00F12A90">
        <w:t>In</w:t>
      </w:r>
      <w:proofErr w:type="gramEnd"/>
      <w:r w:rsidR="0077349F" w:rsidRPr="00F12A90">
        <w:t xml:space="preserve"> addition to certain “baseline” rights and restrictions which are included in all Creative Commons </w:t>
      </w:r>
      <w:r w:rsidR="00C01BCD">
        <w:t>licence</w:t>
      </w:r>
      <w:r w:rsidR="0077349F" w:rsidRPr="00F12A90">
        <w:t xml:space="preserve">s, the copyright owner can choose a number of licensing options, which can be used alone or in combination. </w:t>
      </w:r>
    </w:p>
    <w:p w:rsidR="0077349F" w:rsidRPr="00F12A90" w:rsidRDefault="0077349F" w:rsidP="0077349F">
      <w:pPr>
        <w:pStyle w:val="Heading4"/>
        <w:numPr>
          <w:ilvl w:val="0"/>
          <w:numId w:val="0"/>
        </w:numPr>
        <w:rPr>
          <w:rFonts w:ascii="Arial" w:hAnsi="Arial" w:cs="Times New Roman"/>
          <w:color w:val="auto"/>
        </w:rPr>
      </w:pPr>
      <w:r w:rsidRPr="00F12A90">
        <w:rPr>
          <w:color w:val="auto"/>
        </w:rPr>
        <w:t xml:space="preserve">Baseline features </w:t>
      </w:r>
    </w:p>
    <w:p w:rsidR="0077349F" w:rsidRPr="00F12A90" w:rsidRDefault="0077349F" w:rsidP="00FB4207">
      <w:r w:rsidRPr="00F12A90">
        <w:t xml:space="preserve">The following features are common to all Creative Commons </w:t>
      </w:r>
      <w:r w:rsidR="00C01BCD">
        <w:t>licence</w:t>
      </w:r>
      <w:r w:rsidRPr="00F12A90">
        <w:t>s:</w:t>
      </w:r>
    </w:p>
    <w:p w:rsidR="0077349F" w:rsidRPr="00F12A90" w:rsidRDefault="00C01BCD" w:rsidP="00FB4207">
      <w:pPr>
        <w:pStyle w:val="ListParagraph"/>
        <w:numPr>
          <w:ilvl w:val="0"/>
          <w:numId w:val="9"/>
        </w:numPr>
        <w:spacing w:after="0" w:line="240" w:lineRule="auto"/>
      </w:pPr>
      <w:r>
        <w:t>License</w:t>
      </w:r>
      <w:r w:rsidR="0077349F" w:rsidRPr="00F12A90">
        <w:t>es are granted the right to copy, distribute, display, digitally perform</w:t>
      </w:r>
      <w:r w:rsidR="00FB4207">
        <w:t>,</w:t>
      </w:r>
      <w:r w:rsidR="0077349F" w:rsidRPr="00F12A90">
        <w:t xml:space="preserve"> and make verbatim copies of the work into another format; </w:t>
      </w:r>
    </w:p>
    <w:p w:rsidR="0077349F" w:rsidRPr="00F12A90" w:rsidRDefault="0077349F" w:rsidP="00FB4207">
      <w:pPr>
        <w:pStyle w:val="ListParagraph"/>
        <w:numPr>
          <w:ilvl w:val="0"/>
          <w:numId w:val="9"/>
        </w:numPr>
        <w:spacing w:after="0" w:line="240" w:lineRule="auto"/>
      </w:pPr>
      <w:r w:rsidRPr="00F12A90">
        <w:t xml:space="preserve">The </w:t>
      </w:r>
      <w:r w:rsidR="00C01BCD">
        <w:t>licence</w:t>
      </w:r>
      <w:r w:rsidRPr="00F12A90">
        <w:t xml:space="preserve">s have worldwide application that lasts for the entire duration of copyright and are irrevocable; </w:t>
      </w:r>
    </w:p>
    <w:p w:rsidR="0077349F" w:rsidRPr="00F12A90" w:rsidRDefault="0077349F" w:rsidP="00FB4207">
      <w:pPr>
        <w:pStyle w:val="ListParagraph"/>
        <w:numPr>
          <w:ilvl w:val="0"/>
          <w:numId w:val="9"/>
        </w:numPr>
        <w:spacing w:after="0" w:line="240" w:lineRule="auto"/>
      </w:pPr>
      <w:r w:rsidRPr="00F12A90">
        <w:t xml:space="preserve">Licensees cannot use technological protection measures to restrict access to the work; </w:t>
      </w:r>
    </w:p>
    <w:p w:rsidR="0077349F" w:rsidRPr="00F12A90" w:rsidRDefault="0077349F" w:rsidP="00FB4207">
      <w:pPr>
        <w:pStyle w:val="ListParagraph"/>
        <w:numPr>
          <w:ilvl w:val="0"/>
          <w:numId w:val="9"/>
        </w:numPr>
        <w:spacing w:after="0" w:line="240" w:lineRule="auto"/>
      </w:pPr>
      <w:r w:rsidRPr="00F12A90">
        <w:t xml:space="preserve">Copyright notices should not be removed from all copies of the work; and </w:t>
      </w:r>
    </w:p>
    <w:p w:rsidR="0077349F" w:rsidRPr="00F12A90" w:rsidRDefault="0077349F" w:rsidP="00FB4207">
      <w:pPr>
        <w:pStyle w:val="ListParagraph"/>
        <w:numPr>
          <w:ilvl w:val="0"/>
          <w:numId w:val="9"/>
        </w:numPr>
        <w:spacing w:after="0" w:line="240" w:lineRule="auto"/>
      </w:pPr>
      <w:r w:rsidRPr="00F12A90">
        <w:t xml:space="preserve">Every copy of the work should maintain a link to the </w:t>
      </w:r>
      <w:r w:rsidR="00C01BCD">
        <w:t>licence</w:t>
      </w:r>
      <w:r w:rsidRPr="00F12A90">
        <w:t xml:space="preserve">; </w:t>
      </w:r>
    </w:p>
    <w:p w:rsidR="0077349F" w:rsidRPr="00F12A90" w:rsidRDefault="0077349F" w:rsidP="00FB4207">
      <w:pPr>
        <w:pStyle w:val="ListParagraph"/>
        <w:numPr>
          <w:ilvl w:val="0"/>
          <w:numId w:val="9"/>
        </w:numPr>
        <w:spacing w:after="0" w:line="240" w:lineRule="auto"/>
      </w:pPr>
      <w:r w:rsidRPr="00F12A90">
        <w:t xml:space="preserve">Attribution must be given to the creator of the copyright work </w:t>
      </w:r>
      <w:r w:rsidRPr="00F12A90">
        <w:rPr>
          <w:b/>
          <w:bCs/>
        </w:rPr>
        <w:t xml:space="preserve">(BY). </w:t>
      </w:r>
    </w:p>
    <w:p w:rsidR="0077349F" w:rsidRPr="00F12A90" w:rsidRDefault="0077349F" w:rsidP="00FB4207">
      <w:pPr>
        <w:pStyle w:val="Heading4"/>
        <w:numPr>
          <w:ilvl w:val="0"/>
          <w:numId w:val="0"/>
        </w:numPr>
      </w:pPr>
      <w:r w:rsidRPr="00F12A90">
        <w:rPr>
          <w:color w:val="auto"/>
        </w:rPr>
        <w:t>Optional features</w:t>
      </w:r>
      <w:r w:rsidRPr="00F12A90">
        <w:t xml:space="preserve"> </w:t>
      </w:r>
    </w:p>
    <w:p w:rsidR="0077349F" w:rsidRPr="00F12A90" w:rsidRDefault="0077349F" w:rsidP="00FB4207">
      <w:r w:rsidRPr="00F12A90">
        <w:t xml:space="preserve">Copyright owners can choose from among the following optional license conditions: </w:t>
      </w:r>
    </w:p>
    <w:p w:rsidR="0077349F" w:rsidRPr="00F12A90" w:rsidRDefault="0077349F" w:rsidP="00FB4207">
      <w:pPr>
        <w:pStyle w:val="ListParagraph"/>
        <w:numPr>
          <w:ilvl w:val="0"/>
          <w:numId w:val="10"/>
        </w:numPr>
        <w:spacing w:after="0"/>
      </w:pPr>
      <w:r w:rsidRPr="00F12A90">
        <w:rPr>
          <w:b/>
          <w:bCs/>
        </w:rPr>
        <w:t xml:space="preserve">Non-commercial (NC): </w:t>
      </w:r>
      <w:r w:rsidRPr="00F12A90">
        <w:t xml:space="preserve">others are permitted to copy, distribute, display and perform the copyright work – and any derivative works based upon it – but for non-commercial purposes only; </w:t>
      </w:r>
    </w:p>
    <w:p w:rsidR="0077349F" w:rsidRPr="00F12A90" w:rsidRDefault="0077349F" w:rsidP="00FB4207">
      <w:pPr>
        <w:pStyle w:val="ListParagraph"/>
        <w:numPr>
          <w:ilvl w:val="0"/>
          <w:numId w:val="10"/>
        </w:numPr>
        <w:spacing w:after="0"/>
      </w:pPr>
      <w:r w:rsidRPr="00F12A90">
        <w:rPr>
          <w:b/>
          <w:bCs/>
        </w:rPr>
        <w:t xml:space="preserve">No derivative works (ND): </w:t>
      </w:r>
      <w:r w:rsidRPr="00F12A90">
        <w:t>others are permitted to copy, distribute, display and perform exact copies of the work only and cannot make derivative works based upon it;</w:t>
      </w:r>
    </w:p>
    <w:p w:rsidR="0077349F" w:rsidRPr="00F12A90" w:rsidRDefault="0077349F" w:rsidP="00FB4207">
      <w:pPr>
        <w:pStyle w:val="ListParagraph"/>
        <w:numPr>
          <w:ilvl w:val="0"/>
          <w:numId w:val="10"/>
        </w:numPr>
        <w:spacing w:after="0"/>
      </w:pPr>
      <w:r w:rsidRPr="00F12A90">
        <w:rPr>
          <w:b/>
          <w:bCs/>
        </w:rPr>
        <w:t xml:space="preserve">Share alike (SA): </w:t>
      </w:r>
      <w:r w:rsidRPr="00F12A90">
        <w:t xml:space="preserve">others may distribute derivative works only under a </w:t>
      </w:r>
      <w:r w:rsidR="00C01BCD">
        <w:t>licence</w:t>
      </w:r>
      <w:r w:rsidRPr="00F12A90">
        <w:t xml:space="preserve"> identical to that covering the original work.</w:t>
      </w:r>
    </w:p>
    <w:p w:rsidR="0077349F" w:rsidRPr="00F12A90" w:rsidRDefault="0077349F" w:rsidP="00FB4207">
      <w:pPr>
        <w:pStyle w:val="Default"/>
        <w:ind w:left="284" w:hanging="284"/>
        <w:rPr>
          <w:rFonts w:asciiTheme="minorBidi" w:hAnsiTheme="minorBidi" w:cstheme="minorBidi"/>
          <w:color w:val="auto"/>
          <w:sz w:val="22"/>
          <w:szCs w:val="22"/>
        </w:rPr>
      </w:pPr>
    </w:p>
    <w:p w:rsidR="0077349F" w:rsidRPr="00F12A90" w:rsidRDefault="0077349F" w:rsidP="00FB4207">
      <w:pPr>
        <w:rPr>
          <w:rFonts w:ascii="Arial" w:hAnsi="Arial" w:cs="Times New Roman"/>
        </w:rPr>
      </w:pPr>
      <w:r w:rsidRPr="00F12A90">
        <w:t xml:space="preserve">By mixing and matching these elements, copyright owners can choose between the following six core </w:t>
      </w:r>
      <w:r w:rsidR="00C01BCD">
        <w:t>licence</w:t>
      </w:r>
      <w:r w:rsidRPr="00F12A90">
        <w:t xml:space="preserve">s: </w:t>
      </w:r>
    </w:p>
    <w:p w:rsidR="0077349F" w:rsidRPr="00F12A90" w:rsidRDefault="0077349F" w:rsidP="00FB4207">
      <w:pPr>
        <w:pStyle w:val="ListParagraph"/>
        <w:numPr>
          <w:ilvl w:val="0"/>
          <w:numId w:val="11"/>
        </w:numPr>
        <w:spacing w:after="0"/>
      </w:pPr>
      <w:r w:rsidRPr="00F12A90">
        <w:rPr>
          <w:b/>
          <w:bCs/>
        </w:rPr>
        <w:t xml:space="preserve">Attribution (BY) </w:t>
      </w:r>
      <w:r w:rsidRPr="00F12A90">
        <w:t xml:space="preserve">– This is the most accommodating of the </w:t>
      </w:r>
      <w:r w:rsidR="00C01BCD">
        <w:t>licence</w:t>
      </w:r>
      <w:r w:rsidRPr="00F12A90">
        <w:t xml:space="preserve">s offered, in terms of what others can do with your work. It lets others copy, distribute, re-use and build upon your work, even commercially, as long as they credit you for the original creation. </w:t>
      </w:r>
    </w:p>
    <w:p w:rsidR="0077349F" w:rsidRPr="00F12A90" w:rsidRDefault="0077349F" w:rsidP="00FB4207">
      <w:pPr>
        <w:pStyle w:val="ListParagraph"/>
        <w:numPr>
          <w:ilvl w:val="0"/>
          <w:numId w:val="11"/>
        </w:numPr>
        <w:spacing w:after="0"/>
      </w:pPr>
      <w:r w:rsidRPr="00F12A90">
        <w:rPr>
          <w:b/>
          <w:bCs/>
        </w:rPr>
        <w:t xml:space="preserve">Attribution-Non-commercial (BY-NC) </w:t>
      </w:r>
      <w:r w:rsidRPr="00F12A90">
        <w:t xml:space="preserve">– This </w:t>
      </w:r>
      <w:r w:rsidR="00C01BCD">
        <w:t>licence</w:t>
      </w:r>
      <w:r w:rsidRPr="00F12A90">
        <w:t xml:space="preserve"> lets others copy, distribute, re-use and build upon your work, as long as it is not for commercial purposes and they credit you as the original author. </w:t>
      </w:r>
    </w:p>
    <w:p w:rsidR="0077349F" w:rsidRPr="00F12A90" w:rsidRDefault="0077349F" w:rsidP="00FB4207">
      <w:pPr>
        <w:pStyle w:val="ListParagraph"/>
        <w:numPr>
          <w:ilvl w:val="0"/>
          <w:numId w:val="11"/>
        </w:numPr>
        <w:spacing w:after="0"/>
      </w:pPr>
      <w:r w:rsidRPr="00F12A90">
        <w:rPr>
          <w:b/>
          <w:bCs/>
        </w:rPr>
        <w:t xml:space="preserve">Attribution-Share alike (BY-SA) </w:t>
      </w:r>
      <w:r w:rsidRPr="00F12A90">
        <w:t xml:space="preserve">– This </w:t>
      </w:r>
      <w:r w:rsidR="00C01BCD">
        <w:t>licence</w:t>
      </w:r>
      <w:r w:rsidRPr="00F12A90">
        <w:t xml:space="preserve"> lets others re-use and build upon your work even for commercial purposes, as long as they credit you and license any derivative works under identical terms. </w:t>
      </w:r>
    </w:p>
    <w:p w:rsidR="0077349F" w:rsidRPr="00F12A90" w:rsidRDefault="0077349F" w:rsidP="00FB4207">
      <w:pPr>
        <w:pStyle w:val="ListParagraph"/>
        <w:numPr>
          <w:ilvl w:val="0"/>
          <w:numId w:val="11"/>
        </w:numPr>
        <w:spacing w:after="0"/>
        <w:jc w:val="both"/>
      </w:pPr>
      <w:r w:rsidRPr="00F12A90">
        <w:rPr>
          <w:b/>
          <w:bCs/>
        </w:rPr>
        <w:t xml:space="preserve">Attribution-Non-commercial-Share alike (BY-NC-SA) </w:t>
      </w:r>
      <w:r w:rsidRPr="00F12A90">
        <w:t xml:space="preserve">– This </w:t>
      </w:r>
      <w:r w:rsidR="00C01BCD">
        <w:t>licence</w:t>
      </w:r>
      <w:r w:rsidRPr="00F12A90">
        <w:t xml:space="preserve"> lets others re-use and build upon your work, as long as it is for non-commercial purposes, they credit you and they license their new creations under identical terms. </w:t>
      </w:r>
    </w:p>
    <w:p w:rsidR="0077349F" w:rsidRPr="00F12A90" w:rsidRDefault="0077349F" w:rsidP="00FB4207">
      <w:pPr>
        <w:pStyle w:val="ListParagraph"/>
        <w:numPr>
          <w:ilvl w:val="0"/>
          <w:numId w:val="11"/>
        </w:numPr>
        <w:spacing w:after="0"/>
        <w:jc w:val="both"/>
      </w:pPr>
      <w:r w:rsidRPr="00F12A90">
        <w:rPr>
          <w:b/>
          <w:bCs/>
        </w:rPr>
        <w:t xml:space="preserve">Attribution-No derivatives (BY-ND) </w:t>
      </w:r>
      <w:r w:rsidRPr="00F12A90">
        <w:t xml:space="preserve">– This </w:t>
      </w:r>
      <w:r w:rsidR="00C01BCD">
        <w:t>licence</w:t>
      </w:r>
      <w:r w:rsidRPr="00F12A90">
        <w:t xml:space="preserve"> allows use of a work in its current form for both commercial and non-commercial purposes, as long as it is not changed in any way or used to make derivative works, and credit is given to the original author. </w:t>
      </w:r>
    </w:p>
    <w:p w:rsidR="0077349F" w:rsidRPr="00F12A90" w:rsidRDefault="0077349F" w:rsidP="00FB4207">
      <w:pPr>
        <w:pStyle w:val="ListParagraph"/>
        <w:numPr>
          <w:ilvl w:val="0"/>
          <w:numId w:val="11"/>
        </w:numPr>
        <w:spacing w:after="0"/>
        <w:jc w:val="both"/>
      </w:pPr>
      <w:r w:rsidRPr="00F12A90">
        <w:rPr>
          <w:b/>
          <w:bCs/>
        </w:rPr>
        <w:t xml:space="preserve">Attribution-Non-commercial-No derivatives (BY-NC-ND) </w:t>
      </w:r>
      <w:r w:rsidRPr="00F12A90">
        <w:t xml:space="preserve">– This is the most restrictive of the six core </w:t>
      </w:r>
      <w:r w:rsidR="00C01BCD">
        <w:t>licence</w:t>
      </w:r>
      <w:r w:rsidRPr="00F12A90">
        <w:t xml:space="preserve">s. It is often called the “advertising” </w:t>
      </w:r>
      <w:r w:rsidR="00C01BCD">
        <w:t>licence</w:t>
      </w:r>
      <w:r w:rsidRPr="00F12A90">
        <w:t xml:space="preserve"> because it only allows a work to be copied and shared with others in its original form, and only for non-commercial purposes and where credit is provided to the original author. This </w:t>
      </w:r>
      <w:r w:rsidR="00C01BCD">
        <w:t>licence</w:t>
      </w:r>
      <w:r w:rsidRPr="00F12A90">
        <w:t xml:space="preserve"> does not allow the creation of derivative works, or the use of the work for commercial purposes. </w:t>
      </w:r>
    </w:p>
    <w:p w:rsidR="00936954" w:rsidRDefault="00936954" w:rsidP="006D4645">
      <w:pPr>
        <w:pStyle w:val="Heading1"/>
        <w:numPr>
          <w:ilvl w:val="0"/>
          <w:numId w:val="0"/>
        </w:numPr>
        <w:spacing w:before="120"/>
        <w:ind w:left="357" w:hanging="357"/>
      </w:pPr>
      <w:r>
        <w:t>Data</w:t>
      </w:r>
    </w:p>
    <w:p w:rsidR="00936954" w:rsidRDefault="00936954" w:rsidP="00FB4207">
      <w:pPr>
        <w:rPr>
          <w:sz w:val="24"/>
          <w:szCs w:val="24"/>
        </w:rPr>
      </w:pPr>
      <w:r w:rsidRPr="00F12A90">
        <w:t xml:space="preserve">In most jurisdictions there are intellectual property rights in data that prevent third-parties from using, reusing and redistributing data without explicit permission. Even in places where the existence of rights is uncertain, it is important to apply a </w:t>
      </w:r>
      <w:r w:rsidR="00C01BCD">
        <w:t>licence</w:t>
      </w:r>
      <w:r w:rsidRPr="00F12A90">
        <w:t xml:space="preserve"> simply for the sake of clarity.</w:t>
      </w:r>
      <w:r w:rsidRPr="006D4645">
        <w:t xml:space="preserve"> In order to make data available it should be licensed, in a similar manner to the above discussion.</w:t>
      </w:r>
    </w:p>
    <w:p w:rsidR="000D08C4" w:rsidRDefault="00B2021D" w:rsidP="000D08C4">
      <w:pPr>
        <w:pStyle w:val="Heading1"/>
        <w:numPr>
          <w:ilvl w:val="0"/>
          <w:numId w:val="0"/>
        </w:numPr>
        <w:ind w:left="360" w:hanging="360"/>
      </w:pPr>
      <w:r>
        <w:t xml:space="preserve">Possible </w:t>
      </w:r>
      <w:r w:rsidR="000D08C4">
        <w:t>Clause</w:t>
      </w:r>
      <w:r>
        <w:t>s</w:t>
      </w:r>
      <w:r w:rsidR="000D08C4">
        <w:t xml:space="preserve"> for </w:t>
      </w:r>
      <w:r w:rsidR="00936954">
        <w:t xml:space="preserve">UFS </w:t>
      </w:r>
      <w:r w:rsidR="000D08C4">
        <w:t>IP Policy</w:t>
      </w:r>
    </w:p>
    <w:p w:rsidR="000D08C4" w:rsidRDefault="000D08C4" w:rsidP="00A900BF">
      <w:pPr>
        <w:pStyle w:val="Heading1"/>
        <w:numPr>
          <w:ilvl w:val="0"/>
          <w:numId w:val="0"/>
        </w:numPr>
      </w:pPr>
      <w:r>
        <w:t xml:space="preserve">Open licensing </w:t>
      </w:r>
    </w:p>
    <w:p w:rsidR="00A440BE" w:rsidRDefault="00052811" w:rsidP="00FA2432">
      <w:pPr>
        <w:pStyle w:val="BodyText"/>
        <w:numPr>
          <w:ilvl w:val="1"/>
          <w:numId w:val="14"/>
        </w:numPr>
        <w:tabs>
          <w:tab w:val="clear" w:pos="737"/>
          <w:tab w:val="num" w:pos="426"/>
        </w:tabs>
        <w:ind w:left="426" w:hanging="426"/>
      </w:pPr>
      <w:r>
        <w:t xml:space="preserve">Open licensing entails making available intellectual property on a continuum of modified or waived reservation of rights. </w:t>
      </w:r>
      <w:r w:rsidR="00A900BF">
        <w:t>UFS seeks to protect the rights and privileges of the UFS community</w:t>
      </w:r>
      <w:r w:rsidR="00FB4207">
        <w:t>,</w:t>
      </w:r>
      <w:r w:rsidR="00A900BF">
        <w:t xml:space="preserve"> while at the same time balancing this with the philosophy of sharing information with others and discharging its mission as a public university. UFS </w:t>
      </w:r>
      <w:r w:rsidR="00FB4207">
        <w:t xml:space="preserve">will, </w:t>
      </w:r>
      <w:r w:rsidR="00FA2432">
        <w:t>by default</w:t>
      </w:r>
      <w:r w:rsidR="00FB4207">
        <w:t>,</w:t>
      </w:r>
      <w:r w:rsidR="00A900BF">
        <w:t xml:space="preserve"> publi</w:t>
      </w:r>
      <w:r w:rsidR="00FA2432">
        <w:t>sh materials, research</w:t>
      </w:r>
      <w:r w:rsidR="00FB4207">
        <w:t>,</w:t>
      </w:r>
      <w:r w:rsidR="00FA2432">
        <w:t xml:space="preserve"> and </w:t>
      </w:r>
      <w:r w:rsidR="00A900BF">
        <w:t xml:space="preserve">data under the relevant open </w:t>
      </w:r>
      <w:r w:rsidR="00C01BCD">
        <w:t>licence</w:t>
      </w:r>
      <w:r w:rsidR="00A900BF">
        <w:t xml:space="preserve"> as well as making software open source</w:t>
      </w:r>
      <w:r w:rsidR="00FB4207">
        <w:t xml:space="preserve"> unless an alternative licence is proposed by the creator</w:t>
      </w:r>
      <w:r w:rsidR="00A900BF">
        <w:t>.</w:t>
      </w:r>
    </w:p>
    <w:p w:rsidR="00A440BE" w:rsidRPr="00A440BE" w:rsidRDefault="00A440BE" w:rsidP="00A440BE">
      <w:pPr>
        <w:pStyle w:val="Heading2"/>
      </w:pPr>
      <w:r w:rsidRPr="00A440BE">
        <w:t>Educational Materials</w:t>
      </w:r>
      <w:r>
        <w:t xml:space="preserve"> and Published Research</w:t>
      </w:r>
      <w:r w:rsidR="00734195">
        <w:t xml:space="preserve"> (including Student Theses and Dissertations)</w:t>
      </w:r>
    </w:p>
    <w:p w:rsidR="00052811" w:rsidRDefault="00052811" w:rsidP="00A440BE">
      <w:pPr>
        <w:pStyle w:val="BodyText"/>
        <w:numPr>
          <w:ilvl w:val="0"/>
          <w:numId w:val="23"/>
        </w:numPr>
        <w:ind w:left="426" w:hanging="426"/>
      </w:pPr>
      <w:r>
        <w:t xml:space="preserve">Where appropriate and subject to the provisions of this policy, </w:t>
      </w:r>
      <w:r w:rsidR="006E1F25">
        <w:t>UFS</w:t>
      </w:r>
      <w:r>
        <w:t xml:space="preserve"> supports the publication of materials under Creative Commons licences to promote sharing of knowledge and the creation of Open Educational Resources. U</w:t>
      </w:r>
      <w:r w:rsidR="006E1F25">
        <w:t>FS</w:t>
      </w:r>
      <w:r>
        <w:t xml:space="preserve"> undertakes certain research projects that seek to publish the research output in terms of a suitable Creative Commons licence.</w:t>
      </w:r>
    </w:p>
    <w:p w:rsidR="00A900BF" w:rsidRDefault="006E1F25" w:rsidP="006D4645">
      <w:pPr>
        <w:pStyle w:val="BodyText"/>
        <w:numPr>
          <w:ilvl w:val="1"/>
          <w:numId w:val="14"/>
        </w:numPr>
        <w:tabs>
          <w:tab w:val="clear" w:pos="737"/>
          <w:tab w:val="num" w:pos="426"/>
        </w:tabs>
        <w:ind w:left="426" w:hanging="426"/>
      </w:pPr>
      <w:r>
        <w:t xml:space="preserve">UFS by default </w:t>
      </w:r>
      <w:r w:rsidR="006D4645">
        <w:t>requires that the</w:t>
      </w:r>
      <w:r>
        <w:t xml:space="preserve"> CC-BY </w:t>
      </w:r>
      <w:r w:rsidR="00C01BCD">
        <w:t>licence</w:t>
      </w:r>
      <w:r w:rsidR="006D4645">
        <w:t xml:space="preserve"> be applied</w:t>
      </w:r>
      <w:r>
        <w:t xml:space="preserve"> to all </w:t>
      </w:r>
      <w:r w:rsidR="005B4B0F">
        <w:t xml:space="preserve">copyrighted </w:t>
      </w:r>
      <w:r>
        <w:t xml:space="preserve">materials </w:t>
      </w:r>
      <w:r w:rsidR="00A900BF">
        <w:t>where IP is owned by the</w:t>
      </w:r>
      <w:r>
        <w:t xml:space="preserve"> university.</w:t>
      </w:r>
      <w:r w:rsidR="00734195">
        <w:t xml:space="preserve"> This includes (but is not limited to) essays, books, conference papers, reports (where permitted by a funder of the research leading to the report) educational resources, presentations, </w:t>
      </w:r>
      <w:r w:rsidR="00C01BCD">
        <w:t>scholarly multi</w:t>
      </w:r>
      <w:r w:rsidR="00734195">
        <w:t>-media material, audio-visual works and digital representations of pictorial and graphical materials.)</w:t>
      </w:r>
      <w:r>
        <w:t xml:space="preserve"> </w:t>
      </w:r>
    </w:p>
    <w:p w:rsidR="00052811" w:rsidRDefault="00052811" w:rsidP="00A900BF">
      <w:pPr>
        <w:pStyle w:val="BodyText"/>
        <w:numPr>
          <w:ilvl w:val="1"/>
          <w:numId w:val="14"/>
        </w:numPr>
        <w:tabs>
          <w:tab w:val="clear" w:pos="737"/>
          <w:tab w:val="num" w:pos="426"/>
        </w:tabs>
        <w:ind w:left="426" w:hanging="426"/>
      </w:pPr>
      <w:r>
        <w:t xml:space="preserve">Author(s) of copyrighted materials should seek permission from their respective </w:t>
      </w:r>
      <w:r w:rsidR="005B4B0F" w:rsidRPr="005B4B0F">
        <w:rPr>
          <w:shd w:val="clear" w:color="auto" w:fill="BFBFBF" w:themeFill="background1" w:themeFillShade="BF"/>
        </w:rPr>
        <w:t>Faculty</w:t>
      </w:r>
      <w:r w:rsidRPr="005B4B0F">
        <w:rPr>
          <w:shd w:val="clear" w:color="auto" w:fill="BFBFBF" w:themeFill="background1" w:themeFillShade="BF"/>
        </w:rPr>
        <w:t xml:space="preserve"> Tuition Committee or Management Committee</w:t>
      </w:r>
      <w:r>
        <w:t xml:space="preserve">, who, on behalf of </w:t>
      </w:r>
      <w:r w:rsidR="006E1F25">
        <w:t>UFS</w:t>
      </w:r>
      <w:r>
        <w:t xml:space="preserve">, may grant permission for the material to be distributed under a </w:t>
      </w:r>
      <w:r w:rsidR="006E1F25">
        <w:t xml:space="preserve">more restrictive </w:t>
      </w:r>
      <w:r>
        <w:t>Creative Commons licence</w:t>
      </w:r>
      <w:r w:rsidR="006E1F25">
        <w:t xml:space="preserve"> or </w:t>
      </w:r>
      <w:r w:rsidR="00FB4207">
        <w:t xml:space="preserve">to retain </w:t>
      </w:r>
      <w:r w:rsidR="006E1F25">
        <w:t>full copyright restrictions</w:t>
      </w:r>
      <w:r>
        <w:t>. Decisions about which combination of restrictions to apply in the chosen Creative Commons licence</w:t>
      </w:r>
      <w:r w:rsidR="00FB4207">
        <w:t xml:space="preserve"> and when to retain all-rights reserved copyright</w:t>
      </w:r>
      <w:r>
        <w:t xml:space="preserve"> will be left to the author and the relevant Committee.</w:t>
      </w:r>
    </w:p>
    <w:p w:rsidR="00052811" w:rsidRDefault="00052811" w:rsidP="00A426B6">
      <w:pPr>
        <w:pStyle w:val="BodyText"/>
        <w:numPr>
          <w:ilvl w:val="1"/>
          <w:numId w:val="14"/>
        </w:numPr>
        <w:tabs>
          <w:tab w:val="clear" w:pos="737"/>
          <w:tab w:val="num" w:pos="426"/>
        </w:tabs>
        <w:ind w:left="426" w:hanging="426"/>
      </w:pPr>
      <w:r>
        <w:t>Where it is the desire of the IP Creator or a funder of research at below full cost to place Intellectual Property in the Public Domain and this desire is supported by IPSC, the IPSC will seek approval from the National Intellectual Property Management Office (NIPMO) to release the IP into the Public Domain, provided that:</w:t>
      </w:r>
    </w:p>
    <w:p w:rsidR="00052811" w:rsidRDefault="00052811" w:rsidP="00BA3AEC">
      <w:pPr>
        <w:pStyle w:val="BodyText2"/>
        <w:numPr>
          <w:ilvl w:val="1"/>
          <w:numId w:val="26"/>
        </w:numPr>
        <w:tabs>
          <w:tab w:val="left" w:pos="426"/>
        </w:tabs>
      </w:pPr>
      <w:r>
        <w:t>The IP falls within the ambit of the IPR Act;</w:t>
      </w:r>
    </w:p>
    <w:p w:rsidR="00052811" w:rsidRDefault="00052811" w:rsidP="00BA3AEC">
      <w:pPr>
        <w:pStyle w:val="BodyText2"/>
        <w:numPr>
          <w:ilvl w:val="1"/>
          <w:numId w:val="26"/>
        </w:numPr>
      </w:pPr>
      <w:r>
        <w:t>The IP has Commercialization prospects, or can contribute to the socioeconomic needs of South Africa; and</w:t>
      </w:r>
    </w:p>
    <w:p w:rsidR="000D4B61" w:rsidRDefault="006E1F25" w:rsidP="00BA3AEC">
      <w:pPr>
        <w:pStyle w:val="BodyText2"/>
        <w:numPr>
          <w:ilvl w:val="1"/>
          <w:numId w:val="26"/>
        </w:numPr>
      </w:pPr>
      <w:r>
        <w:t>UFS</w:t>
      </w:r>
      <w:r w:rsidR="00052811">
        <w:t xml:space="preserve"> does not wish to obtain statutory protection, where this is available, or to retain ownership of the IP.</w:t>
      </w:r>
    </w:p>
    <w:p w:rsidR="00734195" w:rsidRDefault="00734195" w:rsidP="00BA3AEC">
      <w:pPr>
        <w:pStyle w:val="BodyText2"/>
        <w:numPr>
          <w:ilvl w:val="1"/>
          <w:numId w:val="14"/>
        </w:numPr>
        <w:tabs>
          <w:tab w:val="clear" w:pos="737"/>
          <w:tab w:val="num" w:pos="426"/>
        </w:tabs>
        <w:ind w:left="426" w:hanging="426"/>
      </w:pPr>
      <w:r>
        <w:t xml:space="preserve">Decisions taken regarding the application of a Creative Commons licence to any UFS IP will be recorded in the </w:t>
      </w:r>
      <w:r w:rsidRPr="005B4B0F">
        <w:rPr>
          <w:shd w:val="clear" w:color="auto" w:fill="BFBFBF" w:themeFill="background1" w:themeFillShade="BF"/>
        </w:rPr>
        <w:t>UFS Enterprise Content Management System</w:t>
      </w:r>
      <w:r>
        <w:t xml:space="preserve">, as part of the </w:t>
      </w:r>
      <w:r w:rsidR="00C01BCD">
        <w:t>Meta</w:t>
      </w:r>
      <w:r>
        <w:t xml:space="preserve"> data for that IP.</w:t>
      </w:r>
    </w:p>
    <w:p w:rsidR="000D4B61" w:rsidRPr="000D4B61" w:rsidRDefault="00A440BE" w:rsidP="00BA3AEC">
      <w:pPr>
        <w:pStyle w:val="BodyText2"/>
        <w:numPr>
          <w:ilvl w:val="1"/>
          <w:numId w:val="14"/>
        </w:numPr>
        <w:tabs>
          <w:tab w:val="clear" w:pos="737"/>
          <w:tab w:val="num" w:pos="426"/>
        </w:tabs>
        <w:ind w:left="426" w:hanging="426"/>
      </w:pPr>
      <w:r w:rsidRPr="000D4B61">
        <w:t xml:space="preserve">An </w:t>
      </w:r>
      <w:r w:rsidR="000D4B61" w:rsidRPr="000D4B61">
        <w:t xml:space="preserve">author </w:t>
      </w:r>
      <w:r w:rsidRPr="000D4B61">
        <w:t>must deposit an appropriate peer reviewed version</w:t>
      </w:r>
      <w:r w:rsidR="000D4B61" w:rsidRPr="000D4B61">
        <w:t xml:space="preserve"> </w:t>
      </w:r>
      <w:r w:rsidRPr="000D4B61">
        <w:t>of</w:t>
      </w:r>
      <w:r w:rsidR="000D4B61" w:rsidRPr="000D4B61">
        <w:t xml:space="preserve"> a </w:t>
      </w:r>
      <w:r w:rsidR="00734195">
        <w:t>Scholarly Publication</w:t>
      </w:r>
      <w:r w:rsidRPr="000D4B61">
        <w:t xml:space="preserve"> into an officially designated Institutional Repository; or</w:t>
      </w:r>
      <w:r w:rsidR="000D4B61">
        <w:t xml:space="preserve"> i</w:t>
      </w:r>
      <w:r w:rsidRPr="000D4B61">
        <w:t>f prevented by a publisher’s copyright terms must notify the Institutional Repository in writing that they will not be doing so and the reasons for this.</w:t>
      </w:r>
    </w:p>
    <w:p w:rsidR="00A440BE" w:rsidRDefault="001A7182" w:rsidP="000D4B61">
      <w:pPr>
        <w:pStyle w:val="BodyText2"/>
        <w:numPr>
          <w:ilvl w:val="1"/>
          <w:numId w:val="14"/>
        </w:numPr>
        <w:tabs>
          <w:tab w:val="clear" w:pos="737"/>
          <w:tab w:val="num" w:pos="426"/>
        </w:tabs>
        <w:ind w:left="426" w:hanging="426"/>
      </w:pPr>
      <w:r>
        <w:t>The University of the Free State:</w:t>
      </w:r>
    </w:p>
    <w:p w:rsidR="00BA3AEC" w:rsidRDefault="00FA2432" w:rsidP="00BA3AEC">
      <w:pPr>
        <w:pStyle w:val="BodyText2"/>
        <w:numPr>
          <w:ilvl w:val="2"/>
          <w:numId w:val="14"/>
        </w:numPr>
        <w:tabs>
          <w:tab w:val="clear" w:pos="1588"/>
        </w:tabs>
        <w:ind w:left="851" w:hanging="425"/>
      </w:pPr>
      <w:r>
        <w:t xml:space="preserve">Recommends that Authors avoid the transfer of copyright to publishers, where the publisher does not permit archiving, re-use or sharing, as a minimum of a submitted version of a scholarly publication. </w:t>
      </w:r>
    </w:p>
    <w:p w:rsidR="00FA2432" w:rsidRDefault="00FA2432" w:rsidP="00BA3AEC">
      <w:pPr>
        <w:pStyle w:val="BodyText2"/>
        <w:numPr>
          <w:ilvl w:val="2"/>
          <w:numId w:val="14"/>
        </w:numPr>
        <w:tabs>
          <w:tab w:val="clear" w:pos="1588"/>
        </w:tabs>
        <w:ind w:left="851" w:hanging="425"/>
      </w:pPr>
      <w:r>
        <w:t>Encourages authors to publish their Scholarly Publications in peer-reviewed open access journals.</w:t>
      </w:r>
      <w:r w:rsidR="00FB4207">
        <w:t xml:space="preserve"> </w:t>
      </w:r>
      <w:r>
        <w:t>In this case the Author should supply the metadata to the Institutional Repository in order to maximise institutional and personal discoverability.</w:t>
      </w:r>
    </w:p>
    <w:p w:rsidR="001A7182" w:rsidRDefault="001A7182" w:rsidP="001A7182">
      <w:pPr>
        <w:pStyle w:val="BodyText2"/>
        <w:tabs>
          <w:tab w:val="clear" w:pos="1588"/>
        </w:tabs>
        <w:ind w:left="851" w:firstLine="0"/>
      </w:pPr>
    </w:p>
    <w:tbl>
      <w:tblPr>
        <w:tblStyle w:val="TableGrid"/>
        <w:tblW w:w="0" w:type="auto"/>
        <w:tblInd w:w="0" w:type="dxa"/>
        <w:tblLook w:val="04A0" w:firstRow="1" w:lastRow="0" w:firstColumn="1" w:lastColumn="0" w:noHBand="0" w:noVBand="1"/>
      </w:tblPr>
      <w:tblGrid>
        <w:gridCol w:w="10338"/>
      </w:tblGrid>
      <w:tr w:rsidR="00A440BE" w:rsidRPr="001A7182" w:rsidTr="00A440BE">
        <w:tc>
          <w:tcPr>
            <w:tcW w:w="10564" w:type="dxa"/>
            <w:shd w:val="clear" w:color="auto" w:fill="BFBFBF" w:themeFill="background1" w:themeFillShade="BF"/>
          </w:tcPr>
          <w:p w:rsidR="00A440BE" w:rsidRPr="001A7182" w:rsidRDefault="002024F1" w:rsidP="001A7182">
            <w:pPr>
              <w:pStyle w:val="ListParagraph"/>
              <w:numPr>
                <w:ilvl w:val="0"/>
                <w:numId w:val="27"/>
              </w:numPr>
              <w:ind w:left="284" w:hanging="284"/>
              <w:jc w:val="both"/>
              <w:rPr>
                <w:rFonts w:asciiTheme="minorBidi" w:hAnsiTheme="minorBidi"/>
              </w:rPr>
            </w:pPr>
            <w:r w:rsidRPr="001A7182">
              <w:rPr>
                <w:rFonts w:asciiTheme="minorBidi" w:hAnsiTheme="minorBidi"/>
              </w:rPr>
              <w:t xml:space="preserve">What </w:t>
            </w:r>
            <w:r w:rsidR="00FB4207">
              <w:rPr>
                <w:rFonts w:asciiTheme="minorBidi" w:hAnsiTheme="minorBidi"/>
              </w:rPr>
              <w:t>sh</w:t>
            </w:r>
            <w:r w:rsidRPr="001A7182">
              <w:rPr>
                <w:rFonts w:asciiTheme="minorBidi" w:hAnsiTheme="minorBidi"/>
              </w:rPr>
              <w:t xml:space="preserve">ould the procedures be at UFS to get </w:t>
            </w:r>
            <w:r w:rsidR="00A440BE" w:rsidRPr="001A7182">
              <w:rPr>
                <w:rFonts w:asciiTheme="minorBidi" w:hAnsiTheme="minorBidi"/>
              </w:rPr>
              <w:t xml:space="preserve">permission </w:t>
            </w:r>
            <w:r w:rsidRPr="001A7182">
              <w:rPr>
                <w:rFonts w:asciiTheme="minorBidi" w:hAnsiTheme="minorBidi"/>
              </w:rPr>
              <w:t>to apply a</w:t>
            </w:r>
            <w:r w:rsidR="00A440BE" w:rsidRPr="001A7182">
              <w:rPr>
                <w:rFonts w:asciiTheme="minorBidi" w:hAnsiTheme="minorBidi"/>
              </w:rPr>
              <w:t xml:space="preserve"> more restrictive </w:t>
            </w:r>
            <w:r w:rsidR="00C01BCD" w:rsidRPr="001A7182">
              <w:rPr>
                <w:rFonts w:asciiTheme="minorBidi" w:hAnsiTheme="minorBidi"/>
              </w:rPr>
              <w:t>licence</w:t>
            </w:r>
            <w:r w:rsidRPr="001A7182">
              <w:rPr>
                <w:rFonts w:asciiTheme="minorBidi" w:hAnsiTheme="minorBidi"/>
              </w:rPr>
              <w:t>?</w:t>
            </w:r>
          </w:p>
          <w:p w:rsidR="001A7182" w:rsidRDefault="001A7182" w:rsidP="001A7182">
            <w:pPr>
              <w:pStyle w:val="ListParagraph"/>
              <w:numPr>
                <w:ilvl w:val="0"/>
                <w:numId w:val="27"/>
              </w:numPr>
              <w:ind w:left="284" w:hanging="284"/>
              <w:jc w:val="both"/>
              <w:rPr>
                <w:rFonts w:asciiTheme="minorBidi" w:hAnsiTheme="minorBidi"/>
              </w:rPr>
            </w:pPr>
            <w:r>
              <w:rPr>
                <w:rFonts w:asciiTheme="minorBidi" w:hAnsiTheme="minorBidi"/>
              </w:rPr>
              <w:t xml:space="preserve">Where </w:t>
            </w:r>
            <w:r w:rsidR="00FB4207">
              <w:rPr>
                <w:rFonts w:asciiTheme="minorBidi" w:hAnsiTheme="minorBidi"/>
              </w:rPr>
              <w:t xml:space="preserve">should </w:t>
            </w:r>
            <w:r>
              <w:rPr>
                <w:rFonts w:asciiTheme="minorBidi" w:hAnsiTheme="minorBidi"/>
              </w:rPr>
              <w:t>IP decisions be recorded?</w:t>
            </w:r>
          </w:p>
          <w:p w:rsidR="001A7182" w:rsidRPr="001A7182" w:rsidRDefault="001A7182" w:rsidP="001A7182">
            <w:pPr>
              <w:pStyle w:val="ListParagraph"/>
              <w:numPr>
                <w:ilvl w:val="0"/>
                <w:numId w:val="27"/>
              </w:numPr>
              <w:ind w:left="284" w:hanging="284"/>
              <w:jc w:val="both"/>
              <w:rPr>
                <w:rFonts w:asciiTheme="minorBidi" w:hAnsiTheme="minorBidi"/>
              </w:rPr>
            </w:pPr>
            <w:r w:rsidRPr="001A7182">
              <w:rPr>
                <w:rFonts w:asciiTheme="minorBidi" w:hAnsiTheme="minorBidi"/>
              </w:rPr>
              <w:t>Is there a central content management system?</w:t>
            </w:r>
            <w:r w:rsidR="00FB4207">
              <w:rPr>
                <w:rFonts w:asciiTheme="minorBidi" w:hAnsiTheme="minorBidi"/>
              </w:rPr>
              <w:t xml:space="preserve"> If not, is one requires?</w:t>
            </w:r>
          </w:p>
          <w:p w:rsidR="00A440BE" w:rsidRPr="001A7182" w:rsidRDefault="00A440BE" w:rsidP="001A7182">
            <w:pPr>
              <w:pStyle w:val="ListParagraph"/>
              <w:numPr>
                <w:ilvl w:val="0"/>
                <w:numId w:val="27"/>
              </w:numPr>
              <w:ind w:left="284" w:hanging="284"/>
              <w:jc w:val="both"/>
              <w:rPr>
                <w:rFonts w:asciiTheme="minorBidi" w:hAnsiTheme="minorBidi"/>
              </w:rPr>
            </w:pPr>
            <w:r w:rsidRPr="001A7182">
              <w:rPr>
                <w:rFonts w:asciiTheme="minorBidi" w:hAnsiTheme="minorBidi"/>
              </w:rPr>
              <w:t xml:space="preserve">What processes need to be followed to record licensing decisions </w:t>
            </w:r>
            <w:r w:rsidR="00FB4207">
              <w:rPr>
                <w:rFonts w:asciiTheme="minorBidi" w:hAnsiTheme="minorBidi"/>
              </w:rPr>
              <w:t xml:space="preserve">in </w:t>
            </w:r>
            <w:r w:rsidR="002024F1" w:rsidRPr="001A7182">
              <w:rPr>
                <w:rFonts w:asciiTheme="minorBidi" w:hAnsiTheme="minorBidi"/>
              </w:rPr>
              <w:t>a central system</w:t>
            </w:r>
            <w:r w:rsidRPr="001A7182">
              <w:rPr>
                <w:rFonts w:asciiTheme="minorBidi" w:hAnsiTheme="minorBidi"/>
              </w:rPr>
              <w:t xml:space="preserve">? </w:t>
            </w:r>
            <w:r w:rsidR="002024F1" w:rsidRPr="001A7182">
              <w:rPr>
                <w:rFonts w:asciiTheme="minorBidi" w:hAnsiTheme="minorBidi"/>
              </w:rPr>
              <w:t>If there is not a central system, what recording process could be incorporated or developed</w:t>
            </w:r>
            <w:r w:rsidRPr="001A7182">
              <w:rPr>
                <w:rFonts w:asciiTheme="minorBidi" w:hAnsiTheme="minorBidi"/>
              </w:rPr>
              <w:t>?</w:t>
            </w:r>
          </w:p>
          <w:p w:rsidR="00A440BE" w:rsidRPr="001A7182" w:rsidRDefault="00FB4207" w:rsidP="001A7182">
            <w:pPr>
              <w:pStyle w:val="Heading2"/>
              <w:numPr>
                <w:ilvl w:val="0"/>
                <w:numId w:val="27"/>
              </w:numPr>
              <w:spacing w:after="0"/>
              <w:ind w:left="284" w:hanging="284"/>
              <w:outlineLvl w:val="1"/>
              <w:rPr>
                <w:rFonts w:asciiTheme="minorBidi" w:hAnsiTheme="minorBidi" w:cstheme="minorBidi"/>
                <w:b w:val="0"/>
                <w:bCs w:val="0"/>
                <w:i w:val="0"/>
                <w:iCs w:val="0"/>
              </w:rPr>
            </w:pPr>
            <w:r>
              <w:rPr>
                <w:rFonts w:asciiTheme="minorBidi" w:hAnsiTheme="minorBidi" w:cstheme="minorBidi"/>
                <w:b w:val="0"/>
                <w:bCs w:val="0"/>
                <w:i w:val="0"/>
                <w:iCs w:val="0"/>
              </w:rPr>
              <w:t>Who w</w:t>
            </w:r>
            <w:r w:rsidR="002024F1" w:rsidRPr="001A7182">
              <w:rPr>
                <w:rFonts w:asciiTheme="minorBidi" w:hAnsiTheme="minorBidi" w:cstheme="minorBidi"/>
                <w:b w:val="0"/>
                <w:bCs w:val="0"/>
                <w:i w:val="0"/>
                <w:iCs w:val="0"/>
              </w:rPr>
              <w:t>ould need to decide w</w:t>
            </w:r>
            <w:r w:rsidR="00A440BE" w:rsidRPr="001A7182">
              <w:rPr>
                <w:rFonts w:asciiTheme="minorBidi" w:hAnsiTheme="minorBidi" w:cstheme="minorBidi"/>
                <w:b w:val="0"/>
                <w:bCs w:val="0"/>
                <w:i w:val="0"/>
                <w:iCs w:val="0"/>
              </w:rPr>
              <w:t xml:space="preserve">hose responsibility it </w:t>
            </w:r>
            <w:r>
              <w:rPr>
                <w:rFonts w:asciiTheme="minorBidi" w:hAnsiTheme="minorBidi" w:cstheme="minorBidi"/>
                <w:b w:val="0"/>
                <w:bCs w:val="0"/>
                <w:i w:val="0"/>
                <w:iCs w:val="0"/>
              </w:rPr>
              <w:t xml:space="preserve">is </w:t>
            </w:r>
            <w:r w:rsidR="00A440BE" w:rsidRPr="001A7182">
              <w:rPr>
                <w:rFonts w:asciiTheme="minorBidi" w:hAnsiTheme="minorBidi" w:cstheme="minorBidi"/>
                <w:b w:val="0"/>
                <w:bCs w:val="0"/>
                <w:i w:val="0"/>
                <w:iCs w:val="0"/>
              </w:rPr>
              <w:t xml:space="preserve">to ensure that materials that are openly licensed by UFS do not include any </w:t>
            </w:r>
            <w:r w:rsidR="006D4645" w:rsidRPr="001A7182">
              <w:rPr>
                <w:rFonts w:asciiTheme="minorBidi" w:hAnsiTheme="minorBidi" w:cstheme="minorBidi"/>
                <w:b w:val="0"/>
                <w:bCs w:val="0"/>
                <w:i w:val="0"/>
                <w:iCs w:val="0"/>
              </w:rPr>
              <w:t>t</w:t>
            </w:r>
            <w:r w:rsidR="00A440BE" w:rsidRPr="001A7182">
              <w:rPr>
                <w:rFonts w:asciiTheme="minorBidi" w:hAnsiTheme="minorBidi" w:cstheme="minorBidi"/>
                <w:b w:val="0"/>
                <w:bCs w:val="0"/>
                <w:i w:val="0"/>
                <w:iCs w:val="0"/>
              </w:rPr>
              <w:t>hird-party copyrighted material?</w:t>
            </w:r>
          </w:p>
          <w:p w:rsidR="001A7182" w:rsidRPr="001A7182" w:rsidRDefault="001A7182" w:rsidP="001A7182">
            <w:pPr>
              <w:ind w:left="284" w:hanging="284"/>
              <w:rPr>
                <w:rFonts w:asciiTheme="minorBidi" w:hAnsiTheme="minorBidi"/>
                <w:lang w:val="en-GB" w:eastAsia="en-GB"/>
              </w:rPr>
            </w:pPr>
          </w:p>
          <w:p w:rsidR="002024F1" w:rsidRPr="001A7182" w:rsidRDefault="002024F1" w:rsidP="001A7182">
            <w:pPr>
              <w:pStyle w:val="ListParagraph"/>
              <w:numPr>
                <w:ilvl w:val="0"/>
                <w:numId w:val="27"/>
              </w:numPr>
              <w:ind w:left="284" w:hanging="284"/>
              <w:rPr>
                <w:rFonts w:asciiTheme="minorBidi" w:hAnsiTheme="minorBidi"/>
                <w:lang w:val="en-GB" w:eastAsia="en-GB"/>
              </w:rPr>
            </w:pPr>
            <w:r w:rsidRPr="001A7182">
              <w:rPr>
                <w:rFonts w:asciiTheme="minorBidi" w:hAnsiTheme="minorBidi"/>
                <w:lang w:val="en-GB" w:eastAsia="en-GB"/>
              </w:rPr>
              <w:t>Should Open Access publishing be discussed in a separate section?</w:t>
            </w:r>
          </w:p>
          <w:p w:rsidR="006D4645" w:rsidRPr="001A7182" w:rsidRDefault="002024F1" w:rsidP="001A7182">
            <w:pPr>
              <w:pStyle w:val="ListParagraph"/>
              <w:numPr>
                <w:ilvl w:val="0"/>
                <w:numId w:val="27"/>
              </w:numPr>
              <w:ind w:left="284" w:hanging="284"/>
              <w:rPr>
                <w:rFonts w:asciiTheme="minorBidi" w:hAnsiTheme="minorBidi"/>
                <w:lang w:val="en-GB" w:eastAsia="en-GB"/>
              </w:rPr>
            </w:pPr>
            <w:r w:rsidRPr="001A7182">
              <w:rPr>
                <w:rFonts w:asciiTheme="minorBidi" w:hAnsiTheme="minorBidi"/>
                <w:lang w:val="en-GB" w:eastAsia="en-GB"/>
              </w:rPr>
              <w:t>Does an institutional repository exist?</w:t>
            </w:r>
            <w:r w:rsidR="00FB4207">
              <w:rPr>
                <w:rFonts w:asciiTheme="minorBidi" w:hAnsiTheme="minorBidi"/>
                <w:lang w:val="en-GB" w:eastAsia="en-GB"/>
              </w:rPr>
              <w:t xml:space="preserve"> </w:t>
            </w:r>
            <w:r w:rsidRPr="001A7182">
              <w:rPr>
                <w:rFonts w:asciiTheme="minorBidi" w:hAnsiTheme="minorBidi"/>
                <w:lang w:val="en-GB" w:eastAsia="en-GB"/>
              </w:rPr>
              <w:t xml:space="preserve">Does it have </w:t>
            </w:r>
            <w:r w:rsidR="00FB4207">
              <w:rPr>
                <w:rFonts w:asciiTheme="minorBidi" w:hAnsiTheme="minorBidi"/>
                <w:lang w:val="en-GB" w:eastAsia="en-GB"/>
              </w:rPr>
              <w:t xml:space="preserve">an </w:t>
            </w:r>
            <w:r w:rsidRPr="001A7182">
              <w:rPr>
                <w:rFonts w:asciiTheme="minorBidi" w:hAnsiTheme="minorBidi"/>
                <w:lang w:val="en-GB" w:eastAsia="en-GB"/>
              </w:rPr>
              <w:t xml:space="preserve">open licences options that can be applied to documents that are uploaded? </w:t>
            </w:r>
          </w:p>
          <w:p w:rsidR="006D4645" w:rsidRPr="001A7182" w:rsidRDefault="006D4645" w:rsidP="00001897">
            <w:pPr>
              <w:pStyle w:val="ListParagraph"/>
              <w:numPr>
                <w:ilvl w:val="0"/>
                <w:numId w:val="27"/>
              </w:numPr>
              <w:ind w:left="284" w:hanging="284"/>
              <w:rPr>
                <w:rFonts w:asciiTheme="minorBidi" w:hAnsiTheme="minorBidi"/>
                <w:lang w:val="en-GB" w:eastAsia="en-GB"/>
              </w:rPr>
            </w:pPr>
            <w:r w:rsidRPr="001A7182">
              <w:rPr>
                <w:rFonts w:asciiTheme="minorBidi" w:hAnsiTheme="minorBidi"/>
                <w:lang w:val="en-GB" w:eastAsia="en-GB"/>
              </w:rPr>
              <w:t>Does UFS have a fund to cover open access publishing?</w:t>
            </w:r>
            <w:r w:rsidR="002024F1" w:rsidRPr="001A7182">
              <w:rPr>
                <w:rFonts w:asciiTheme="minorBidi" w:hAnsiTheme="minorBidi"/>
                <w:lang w:val="en-GB" w:eastAsia="en-GB"/>
              </w:rPr>
              <w:t xml:space="preserve"> </w:t>
            </w:r>
            <w:r w:rsidR="00001897">
              <w:rPr>
                <w:rFonts w:asciiTheme="minorBidi" w:hAnsiTheme="minorBidi"/>
                <w:lang w:val="en-GB" w:eastAsia="en-GB"/>
              </w:rPr>
              <w:t>If so, t</w:t>
            </w:r>
            <w:r w:rsidR="002024F1" w:rsidRPr="001A7182">
              <w:rPr>
                <w:rFonts w:asciiTheme="minorBidi" w:hAnsiTheme="minorBidi"/>
                <w:lang w:val="en-GB" w:eastAsia="en-GB"/>
              </w:rPr>
              <w:t>he procedures to access these funds could be referred to in this document.</w:t>
            </w:r>
          </w:p>
        </w:tc>
      </w:tr>
    </w:tbl>
    <w:p w:rsidR="00A440BE" w:rsidRDefault="00A440BE" w:rsidP="00A440BE">
      <w:pPr>
        <w:pStyle w:val="Heading2"/>
        <w:rPr>
          <w:highlight w:val="yellow"/>
        </w:rPr>
      </w:pPr>
    </w:p>
    <w:p w:rsidR="005B4B0F" w:rsidRDefault="006E1F25" w:rsidP="00A440BE">
      <w:pPr>
        <w:pStyle w:val="Heading2"/>
      </w:pPr>
      <w:r>
        <w:t xml:space="preserve">Open </w:t>
      </w:r>
      <w:r w:rsidR="00936954">
        <w:t xml:space="preserve">licensing of </w:t>
      </w:r>
      <w:r>
        <w:t>data</w:t>
      </w:r>
    </w:p>
    <w:p w:rsidR="00FA2432" w:rsidRPr="00FA2432" w:rsidRDefault="005B4B0F" w:rsidP="00936954">
      <w:pPr>
        <w:pStyle w:val="BodyText"/>
        <w:numPr>
          <w:ilvl w:val="0"/>
          <w:numId w:val="17"/>
        </w:numPr>
      </w:pPr>
      <w:r w:rsidRPr="00FA2432">
        <w:t xml:space="preserve">UFS by default </w:t>
      </w:r>
      <w:r w:rsidR="00936954" w:rsidRPr="00FA2432">
        <w:t>requires that all data collected or created by the institution be openly licensed by applying the Creative Commons Attribution ShareAlike licence (CC-BY-SA)</w:t>
      </w:r>
      <w:r w:rsidRPr="00FA2432">
        <w:t xml:space="preserve">. </w:t>
      </w:r>
    </w:p>
    <w:p w:rsidR="005B4B0F" w:rsidRPr="00FA2432" w:rsidRDefault="00936954" w:rsidP="00936954">
      <w:pPr>
        <w:pStyle w:val="BodyText"/>
        <w:numPr>
          <w:ilvl w:val="0"/>
          <w:numId w:val="17"/>
        </w:numPr>
      </w:pPr>
      <w:r w:rsidRPr="00FA2432">
        <w:t xml:space="preserve">Originators </w:t>
      </w:r>
      <w:r w:rsidR="005B4B0F" w:rsidRPr="00FA2432">
        <w:t xml:space="preserve">of copyrighted </w:t>
      </w:r>
      <w:r w:rsidRPr="00FA2432">
        <w:t>data</w:t>
      </w:r>
      <w:r w:rsidR="005B4B0F" w:rsidRPr="00FA2432">
        <w:t xml:space="preserve"> should seek permission from their respective </w:t>
      </w:r>
      <w:r w:rsidR="005B4B0F" w:rsidRPr="00FA2432">
        <w:rPr>
          <w:shd w:val="clear" w:color="auto" w:fill="BFBFBF" w:themeFill="background1" w:themeFillShade="BF"/>
        </w:rPr>
        <w:t>Faculty Tuition Committee or Management Committee</w:t>
      </w:r>
      <w:r w:rsidR="005B4B0F" w:rsidRPr="00FA2432">
        <w:t xml:space="preserve">, who, on behalf of UFS, may grant permission for the material to be distributed under a more restrictive Creative Commons licence or not to apply a </w:t>
      </w:r>
      <w:r w:rsidR="00C01BCD">
        <w:t>licence</w:t>
      </w:r>
      <w:r w:rsidR="005B4B0F" w:rsidRPr="00FA2432">
        <w:t xml:space="preserve"> at all where full copyright restrictions should remain. Decisions about which combination of restrictions to apply in the chosen Creative Commons licence will be left to the </w:t>
      </w:r>
      <w:r w:rsidRPr="00FA2432">
        <w:t>originator</w:t>
      </w:r>
      <w:r w:rsidR="005B4B0F" w:rsidRPr="00FA2432">
        <w:t xml:space="preserve"> and the relevant Committee.</w:t>
      </w:r>
    </w:p>
    <w:p w:rsidR="00936954" w:rsidRDefault="005B4B0F" w:rsidP="00936954">
      <w:pPr>
        <w:pStyle w:val="ListParagraph"/>
        <w:numPr>
          <w:ilvl w:val="0"/>
          <w:numId w:val="17"/>
        </w:numPr>
        <w:rPr>
          <w:sz w:val="24"/>
          <w:szCs w:val="24"/>
        </w:rPr>
      </w:pPr>
      <w:r w:rsidRPr="00FA2432">
        <w:t xml:space="preserve">Decisions taken regarding the application of a Creative Commons licence to any UFS IP will be recorded in the </w:t>
      </w:r>
      <w:r w:rsidRPr="00FA2432">
        <w:rPr>
          <w:shd w:val="clear" w:color="auto" w:fill="BFBFBF" w:themeFill="background1" w:themeFillShade="BF"/>
        </w:rPr>
        <w:t>UFS Enterprise Content Mana</w:t>
      </w:r>
      <w:r w:rsidRPr="009B2B23">
        <w:rPr>
          <w:sz w:val="24"/>
          <w:szCs w:val="24"/>
          <w:shd w:val="clear" w:color="auto" w:fill="BFBFBF" w:themeFill="background1" w:themeFillShade="BF"/>
        </w:rPr>
        <w:t>gement System</w:t>
      </w:r>
      <w:r w:rsidRPr="009B2B23">
        <w:rPr>
          <w:sz w:val="24"/>
          <w:szCs w:val="24"/>
        </w:rPr>
        <w:t xml:space="preserve">, as part of the </w:t>
      </w:r>
      <w:r w:rsidR="00C01BCD" w:rsidRPr="009B2B23">
        <w:rPr>
          <w:sz w:val="24"/>
          <w:szCs w:val="24"/>
        </w:rPr>
        <w:t>Meta</w:t>
      </w:r>
      <w:r w:rsidRPr="009B2B23">
        <w:rPr>
          <w:sz w:val="24"/>
          <w:szCs w:val="24"/>
        </w:rPr>
        <w:t xml:space="preserve"> data for that IP.</w:t>
      </w:r>
    </w:p>
    <w:p w:rsidR="001A7182" w:rsidRPr="009B2B23" w:rsidRDefault="001A7182" w:rsidP="001A7182">
      <w:pPr>
        <w:pStyle w:val="ListParagraph"/>
        <w:ind w:left="360"/>
        <w:rPr>
          <w:sz w:val="24"/>
          <w:szCs w:val="24"/>
        </w:rPr>
      </w:pPr>
    </w:p>
    <w:tbl>
      <w:tblPr>
        <w:tblStyle w:val="TableGrid"/>
        <w:tblW w:w="10490" w:type="dxa"/>
        <w:tblInd w:w="108" w:type="dxa"/>
        <w:tblLook w:val="04A0" w:firstRow="1" w:lastRow="0" w:firstColumn="1" w:lastColumn="0" w:noHBand="0" w:noVBand="1"/>
      </w:tblPr>
      <w:tblGrid>
        <w:gridCol w:w="10490"/>
      </w:tblGrid>
      <w:tr w:rsidR="00936954" w:rsidTr="00FA2432">
        <w:tc>
          <w:tcPr>
            <w:tcW w:w="10490" w:type="dxa"/>
            <w:shd w:val="clear" w:color="auto" w:fill="BFBFBF" w:themeFill="background1" w:themeFillShade="BF"/>
          </w:tcPr>
          <w:p w:rsidR="00936954" w:rsidRPr="001A7182" w:rsidRDefault="002024F1" w:rsidP="001A7182">
            <w:pPr>
              <w:pStyle w:val="ListParagraph"/>
              <w:numPr>
                <w:ilvl w:val="0"/>
                <w:numId w:val="28"/>
              </w:numPr>
              <w:ind w:left="176" w:hanging="284"/>
              <w:rPr>
                <w:rFonts w:asciiTheme="minorBidi" w:hAnsiTheme="minorBidi"/>
              </w:rPr>
            </w:pPr>
            <w:r w:rsidRPr="001A7182">
              <w:rPr>
                <w:rFonts w:asciiTheme="minorBidi" w:hAnsiTheme="minorBidi"/>
              </w:rPr>
              <w:t xml:space="preserve">Would UFS make </w:t>
            </w:r>
            <w:r w:rsidR="001A7182" w:rsidRPr="001A7182">
              <w:rPr>
                <w:rFonts w:asciiTheme="minorBidi" w:hAnsiTheme="minorBidi"/>
              </w:rPr>
              <w:t xml:space="preserve">only </w:t>
            </w:r>
            <w:r w:rsidRPr="001A7182">
              <w:rPr>
                <w:rFonts w:asciiTheme="minorBidi" w:hAnsiTheme="minorBidi"/>
              </w:rPr>
              <w:t xml:space="preserve">use of </w:t>
            </w:r>
            <w:r w:rsidR="00936954" w:rsidRPr="001A7182">
              <w:rPr>
                <w:rFonts w:asciiTheme="minorBidi" w:hAnsiTheme="minorBidi"/>
              </w:rPr>
              <w:t xml:space="preserve">Creative Common’s </w:t>
            </w:r>
            <w:r w:rsidR="00C01BCD" w:rsidRPr="001A7182">
              <w:rPr>
                <w:rFonts w:asciiTheme="minorBidi" w:hAnsiTheme="minorBidi"/>
              </w:rPr>
              <w:t>licence</w:t>
            </w:r>
            <w:r w:rsidR="00936954" w:rsidRPr="001A7182">
              <w:rPr>
                <w:rFonts w:asciiTheme="minorBidi" w:hAnsiTheme="minorBidi"/>
              </w:rPr>
              <w:t xml:space="preserve">s for data or include other accepted </w:t>
            </w:r>
            <w:r w:rsidR="00C01BCD" w:rsidRPr="001A7182">
              <w:rPr>
                <w:rFonts w:asciiTheme="minorBidi" w:hAnsiTheme="minorBidi"/>
              </w:rPr>
              <w:t>licence</w:t>
            </w:r>
            <w:r w:rsidR="00936954" w:rsidRPr="001A7182">
              <w:rPr>
                <w:rFonts w:asciiTheme="minorBidi" w:hAnsiTheme="minorBidi"/>
              </w:rPr>
              <w:t>s?</w:t>
            </w:r>
          </w:p>
          <w:p w:rsidR="002024F1" w:rsidRPr="001A7182" w:rsidRDefault="002024F1" w:rsidP="001A7182">
            <w:pPr>
              <w:pStyle w:val="ListParagraph"/>
              <w:numPr>
                <w:ilvl w:val="0"/>
                <w:numId w:val="28"/>
              </w:numPr>
              <w:ind w:left="176" w:hanging="284"/>
              <w:rPr>
                <w:rFonts w:asciiTheme="minorBidi" w:hAnsiTheme="minorBidi"/>
              </w:rPr>
            </w:pPr>
            <w:r w:rsidRPr="001A7182">
              <w:rPr>
                <w:rFonts w:asciiTheme="minorBidi" w:hAnsiTheme="minorBidi"/>
              </w:rPr>
              <w:t>Same as above</w:t>
            </w:r>
            <w:r w:rsidR="00001897">
              <w:rPr>
                <w:rFonts w:asciiTheme="minorBidi" w:hAnsiTheme="minorBidi"/>
              </w:rPr>
              <w:t xml:space="preserve">: </w:t>
            </w:r>
            <w:r w:rsidRPr="001A7182">
              <w:rPr>
                <w:rFonts w:asciiTheme="minorBidi" w:hAnsiTheme="minorBidi"/>
              </w:rPr>
              <w:t>would</w:t>
            </w:r>
            <w:r w:rsidR="00001897">
              <w:rPr>
                <w:rFonts w:asciiTheme="minorBidi" w:hAnsiTheme="minorBidi"/>
              </w:rPr>
              <w:t xml:space="preserve"> </w:t>
            </w:r>
            <w:r w:rsidRPr="001A7182">
              <w:rPr>
                <w:rFonts w:asciiTheme="minorBidi" w:hAnsiTheme="minorBidi"/>
              </w:rPr>
              <w:t>need a procedure in order to apply a more restrictive licence to data.</w:t>
            </w:r>
          </w:p>
          <w:p w:rsidR="00FA2432" w:rsidRPr="001A7182" w:rsidRDefault="002024F1" w:rsidP="001A7182">
            <w:pPr>
              <w:pStyle w:val="ListParagraph"/>
              <w:numPr>
                <w:ilvl w:val="0"/>
                <w:numId w:val="28"/>
              </w:numPr>
              <w:ind w:left="176" w:hanging="284"/>
            </w:pPr>
            <w:r w:rsidRPr="001A7182">
              <w:rPr>
                <w:rFonts w:asciiTheme="minorBidi" w:hAnsiTheme="minorBidi"/>
              </w:rPr>
              <w:t>Same as above</w:t>
            </w:r>
            <w:r w:rsidR="00001897">
              <w:rPr>
                <w:rFonts w:asciiTheme="minorBidi" w:hAnsiTheme="minorBidi"/>
              </w:rPr>
              <w:t>:</w:t>
            </w:r>
            <w:r w:rsidRPr="001A7182">
              <w:rPr>
                <w:rFonts w:asciiTheme="minorBidi" w:hAnsiTheme="minorBidi"/>
              </w:rPr>
              <w:t xml:space="preserve"> is there a central place to store data and to indicate its licence</w:t>
            </w:r>
            <w:r w:rsidR="007A64E2" w:rsidRPr="001A7182">
              <w:rPr>
                <w:rFonts w:asciiTheme="minorBidi" w:hAnsiTheme="minorBidi"/>
              </w:rPr>
              <w:t>?</w:t>
            </w:r>
          </w:p>
        </w:tc>
      </w:tr>
    </w:tbl>
    <w:p w:rsidR="00001897" w:rsidRDefault="00001897" w:rsidP="002024F1"/>
    <w:p w:rsidR="0055349B" w:rsidRDefault="002024F1" w:rsidP="002024F1">
      <w:r>
        <w:t>R</w:t>
      </w:r>
      <w:r w:rsidR="00FA2432">
        <w:t>eferences:</w:t>
      </w:r>
    </w:p>
    <w:p w:rsidR="0055349B" w:rsidRDefault="00AB58A6" w:rsidP="00B9408D">
      <w:hyperlink r:id="rId9" w:history="1">
        <w:r w:rsidR="0055349B" w:rsidRPr="001C1FA1">
          <w:rPr>
            <w:rStyle w:val="Hyperlink"/>
          </w:rPr>
          <w:t>http://opendatahandbook.org/guide/en/what-is-open-data/</w:t>
        </w:r>
      </w:hyperlink>
    </w:p>
    <w:p w:rsidR="0055349B" w:rsidRDefault="00AB58A6" w:rsidP="00B9408D">
      <w:hyperlink r:id="rId10" w:history="1">
        <w:r w:rsidR="0055349B" w:rsidRPr="001C1FA1">
          <w:rPr>
            <w:rStyle w:val="Hyperlink"/>
          </w:rPr>
          <w:t>http://opendefinition.org/guide/</w:t>
        </w:r>
      </w:hyperlink>
    </w:p>
    <w:p w:rsidR="0055349B" w:rsidRDefault="00AB58A6" w:rsidP="00B9408D">
      <w:hyperlink r:id="rId11" w:history="1">
        <w:r w:rsidR="0055349B" w:rsidRPr="001C1FA1">
          <w:rPr>
            <w:rStyle w:val="Hyperlink"/>
          </w:rPr>
          <w:t>https://creativecommons.org/licenses/</w:t>
        </w:r>
      </w:hyperlink>
    </w:p>
    <w:p w:rsidR="0077349F" w:rsidRDefault="0077349F" w:rsidP="0077349F">
      <w:r>
        <w:t>OECD.</w:t>
      </w:r>
      <w:r w:rsidR="00FB4207">
        <w:t xml:space="preserve"> </w:t>
      </w:r>
      <w:r>
        <w:t>Open Content Licensing (OCL) for Open Educational Resources by Prof Brian Fitzgerald.</w:t>
      </w:r>
      <w:r w:rsidR="00FB4207">
        <w:t xml:space="preserve"> </w:t>
      </w:r>
      <w:r>
        <w:t>Paper commissioned by the OECD’s Centre for Educational Research and Innovation for the project on Open Educational Resources.</w:t>
      </w:r>
      <w:r w:rsidR="00FB4207">
        <w:t xml:space="preserve"> </w:t>
      </w:r>
      <w:hyperlink r:id="rId12" w:history="1">
        <w:r>
          <w:rPr>
            <w:rStyle w:val="Hyperlink"/>
            <w:rFonts w:eastAsiaTheme="majorEastAsia"/>
          </w:rPr>
          <w:t>www.oecd.org/edu/oer</w:t>
        </w:r>
      </w:hyperlink>
    </w:p>
    <w:p w:rsidR="0055349B" w:rsidRDefault="00AB58A6" w:rsidP="002024F1">
      <w:hyperlink r:id="rId13" w:history="1">
        <w:r w:rsidR="00A900BF" w:rsidRPr="00602495">
          <w:rPr>
            <w:rStyle w:val="Hyperlink"/>
          </w:rPr>
          <w:t>http://www.iplaw.uct.ac.za/sites/default/files/image_tool/images/317/News/Archive/Open_Content_Licensing/UCTOpenAccessPolicy.pdf</w:t>
        </w:r>
      </w:hyperlink>
    </w:p>
    <w:p w:rsidR="0055349B" w:rsidRDefault="0055349B" w:rsidP="00B9408D"/>
    <w:sectPr w:rsidR="0055349B" w:rsidSect="0077349F">
      <w:footerReference w:type="default" r:id="rId14"/>
      <w:pgSz w:w="12240" w:h="15840"/>
      <w:pgMar w:top="1440" w:right="104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A6" w:rsidRDefault="00AB58A6" w:rsidP="00C324E3">
      <w:pPr>
        <w:spacing w:after="0" w:line="240" w:lineRule="auto"/>
      </w:pPr>
      <w:r>
        <w:separator/>
      </w:r>
    </w:p>
  </w:endnote>
  <w:endnote w:type="continuationSeparator" w:id="0">
    <w:p w:rsidR="00AB58A6" w:rsidRDefault="00AB58A6" w:rsidP="00C3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22047"/>
      <w:docPartObj>
        <w:docPartGallery w:val="Page Numbers (Bottom of Page)"/>
        <w:docPartUnique/>
      </w:docPartObj>
    </w:sdtPr>
    <w:sdtEndPr>
      <w:rPr>
        <w:color w:val="808080" w:themeColor="background1" w:themeShade="80"/>
        <w:spacing w:val="60"/>
        <w:sz w:val="18"/>
        <w:szCs w:val="18"/>
      </w:rPr>
    </w:sdtEndPr>
    <w:sdtContent>
      <w:p w:rsidR="006E1F25" w:rsidRPr="006E1F25" w:rsidRDefault="006E1F25">
        <w:pPr>
          <w:pStyle w:val="Footer"/>
          <w:pBdr>
            <w:top w:val="single" w:sz="4" w:space="1" w:color="D9D9D9" w:themeColor="background1" w:themeShade="D9"/>
          </w:pBdr>
          <w:jc w:val="right"/>
          <w:rPr>
            <w:sz w:val="18"/>
            <w:szCs w:val="18"/>
          </w:rPr>
        </w:pPr>
        <w:r w:rsidRPr="006E1F25">
          <w:rPr>
            <w:sz w:val="18"/>
            <w:szCs w:val="18"/>
          </w:rPr>
          <w:fldChar w:fldCharType="begin"/>
        </w:r>
        <w:r w:rsidRPr="006E1F25">
          <w:rPr>
            <w:sz w:val="18"/>
            <w:szCs w:val="18"/>
          </w:rPr>
          <w:instrText xml:space="preserve"> PAGE   \* MERGEFORMAT </w:instrText>
        </w:r>
        <w:r w:rsidRPr="006E1F25">
          <w:rPr>
            <w:sz w:val="18"/>
            <w:szCs w:val="18"/>
          </w:rPr>
          <w:fldChar w:fldCharType="separate"/>
        </w:r>
        <w:r w:rsidR="004A010F">
          <w:rPr>
            <w:noProof/>
            <w:sz w:val="18"/>
            <w:szCs w:val="18"/>
          </w:rPr>
          <w:t>4</w:t>
        </w:r>
        <w:r w:rsidRPr="006E1F25">
          <w:rPr>
            <w:noProof/>
            <w:sz w:val="18"/>
            <w:szCs w:val="18"/>
          </w:rPr>
          <w:fldChar w:fldCharType="end"/>
        </w:r>
        <w:r w:rsidRPr="006E1F25">
          <w:rPr>
            <w:sz w:val="18"/>
            <w:szCs w:val="18"/>
          </w:rPr>
          <w:t xml:space="preserve"> | </w:t>
        </w:r>
        <w:r w:rsidRPr="006E1F25">
          <w:rPr>
            <w:color w:val="808080" w:themeColor="background1" w:themeShade="80"/>
            <w:spacing w:val="60"/>
            <w:sz w:val="18"/>
            <w:szCs w:val="18"/>
          </w:rPr>
          <w:t>Page</w:t>
        </w:r>
      </w:p>
    </w:sdtContent>
  </w:sdt>
  <w:p w:rsidR="006E1F25" w:rsidRDefault="006E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A6" w:rsidRDefault="00AB58A6" w:rsidP="00C324E3">
      <w:pPr>
        <w:spacing w:after="0" w:line="240" w:lineRule="auto"/>
      </w:pPr>
      <w:r>
        <w:separator/>
      </w:r>
    </w:p>
  </w:footnote>
  <w:footnote w:type="continuationSeparator" w:id="0">
    <w:p w:rsidR="00AB58A6" w:rsidRDefault="00AB58A6" w:rsidP="00C324E3">
      <w:pPr>
        <w:spacing w:after="0" w:line="240" w:lineRule="auto"/>
      </w:pPr>
      <w:r>
        <w:continuationSeparator/>
      </w:r>
    </w:p>
  </w:footnote>
  <w:footnote w:id="1">
    <w:p w:rsidR="00C324E3" w:rsidRPr="00C324E3" w:rsidRDefault="00C324E3" w:rsidP="00C324E3">
      <w:pPr>
        <w:pStyle w:val="FootnoteText"/>
        <w:rPr>
          <w:lang w:val="en-ZA"/>
        </w:rPr>
      </w:pPr>
      <w:r>
        <w:rPr>
          <w:rStyle w:val="FootnoteReference"/>
        </w:rPr>
        <w:footnoteRef/>
      </w:r>
      <w:r w:rsidR="00FB4207">
        <w:t xml:space="preserve"> </w:t>
      </w:r>
      <w:hyperlink r:id="rId1" w:history="1">
        <w:r>
          <w:rPr>
            <w:rStyle w:val="Hyperlink"/>
            <w:rFonts w:eastAsiaTheme="majorEastAsia" w:cs="Arial"/>
            <w:i/>
            <w:iCs/>
            <w:color w:val="663366"/>
            <w:sz w:val="19"/>
            <w:szCs w:val="19"/>
          </w:rPr>
          <w:t>"Open Educational Resources"</w:t>
        </w:r>
      </w:hyperlink>
      <w:r>
        <w:rPr>
          <w:rStyle w:val="HTMLCite"/>
          <w:rFonts w:eastAsiaTheme="majorEastAsia" w:cs="Arial"/>
          <w:color w:val="252525"/>
          <w:sz w:val="19"/>
          <w:szCs w:val="19"/>
        </w:rPr>
        <w:t>.</w:t>
      </w:r>
      <w:r>
        <w:rPr>
          <w:rStyle w:val="apple-converted-space"/>
          <w:i/>
          <w:iCs/>
          <w:color w:val="252525"/>
          <w:sz w:val="19"/>
          <w:szCs w:val="19"/>
        </w:rPr>
        <w:t> </w:t>
      </w:r>
      <w:r>
        <w:rPr>
          <w:rStyle w:val="HTMLCite"/>
          <w:rFonts w:eastAsiaTheme="majorEastAsia" w:cs="Arial"/>
          <w:color w:val="252525"/>
          <w:sz w:val="19"/>
          <w:szCs w:val="19"/>
        </w:rPr>
        <w:t>The William and Flora Hewlett Foundation</w:t>
      </w:r>
      <w:r>
        <w:rPr>
          <w:rStyle w:val="reference-accessdate"/>
          <w:rFonts w:eastAsiaTheme="majorEastAsia" w:cs="Arial"/>
          <w:i/>
          <w:iCs/>
          <w:color w:val="252525"/>
          <w:sz w:val="19"/>
          <w:szCs w:val="19"/>
        </w:rPr>
        <w:t>. Retrieved</w:t>
      </w:r>
      <w:r>
        <w:rPr>
          <w:rStyle w:val="apple-converted-space"/>
          <w:i/>
          <w:iCs/>
          <w:color w:val="252525"/>
          <w:sz w:val="19"/>
          <w:szCs w:val="19"/>
        </w:rPr>
        <w:t> </w:t>
      </w:r>
      <w:r>
        <w:rPr>
          <w:rStyle w:val="nowrap"/>
          <w:rFonts w:eastAsiaTheme="majorEastAsia" w:cs="Arial"/>
          <w:i/>
          <w:iCs/>
          <w:color w:val="252525"/>
          <w:sz w:val="19"/>
          <w:szCs w:val="19"/>
        </w:rPr>
        <w:t>27 March</w:t>
      </w:r>
      <w:r>
        <w:rPr>
          <w:rStyle w:val="apple-converted-space"/>
          <w:i/>
          <w:iCs/>
          <w:color w:val="252525"/>
          <w:sz w:val="19"/>
          <w:szCs w:val="19"/>
        </w:rPr>
        <w:t> </w:t>
      </w:r>
      <w:r>
        <w:rPr>
          <w:rStyle w:val="reference-accessdate"/>
          <w:rFonts w:eastAsiaTheme="majorEastAsia" w:cs="Arial"/>
          <w:i/>
          <w:iCs/>
          <w:color w:val="252525"/>
          <w:sz w:val="19"/>
          <w:szCs w:val="19"/>
        </w:rPr>
        <w:t>2013</w:t>
      </w:r>
      <w:r>
        <w:rPr>
          <w:rStyle w:val="HTMLCite"/>
          <w:rFonts w:eastAsiaTheme="majorEastAsia" w:cs="Arial"/>
          <w:color w:val="252525"/>
          <w:sz w:val="19"/>
          <w:szCs w:val="19"/>
        </w:rPr>
        <w:t>.</w:t>
      </w:r>
    </w:p>
  </w:footnote>
  <w:footnote w:id="2">
    <w:p w:rsidR="00C324E3" w:rsidRDefault="00C324E3" w:rsidP="00C324E3">
      <w:pPr>
        <w:pStyle w:val="FootnoteText"/>
      </w:pPr>
      <w:r>
        <w:rPr>
          <w:rStyle w:val="FootnoteReference"/>
          <w:rFonts w:eastAsia="MS Mincho"/>
        </w:rPr>
        <w:footnoteRef/>
      </w:r>
      <w:r>
        <w:t xml:space="preserve"> Wiley, D., and Green, C. (2012). Why Openness in Education? In </w:t>
      </w:r>
      <w:proofErr w:type="spellStart"/>
      <w:r>
        <w:t>Oblinger</w:t>
      </w:r>
      <w:proofErr w:type="spellEnd"/>
      <w:r>
        <w:t xml:space="preserve">, D. </w:t>
      </w:r>
      <w:r>
        <w:rPr>
          <w:i/>
        </w:rPr>
        <w:t>Game Changers: Education and Information Technologies.</w:t>
      </w:r>
      <w:r>
        <w:t xml:space="preserve"> </w:t>
      </w:r>
      <w:proofErr w:type="spellStart"/>
      <w:r>
        <w:t>Educause</w:t>
      </w:r>
      <w:proofErr w:type="spellEnd"/>
    </w:p>
  </w:footnote>
  <w:footnote w:id="3">
    <w:p w:rsidR="00C324E3" w:rsidRDefault="00C324E3" w:rsidP="00C324E3">
      <w:pPr>
        <w:pStyle w:val="FootnoteText"/>
      </w:pPr>
      <w:r>
        <w:rPr>
          <w:rStyle w:val="FootnoteReference"/>
          <w:rFonts w:eastAsia="MS Mincho"/>
        </w:rPr>
        <w:footnoteRef/>
      </w:r>
      <w:r>
        <w:t xml:space="preserve"> </w:t>
      </w:r>
      <w:proofErr w:type="spellStart"/>
      <w:r>
        <w:t>Suber</w:t>
      </w:r>
      <w:proofErr w:type="spellEnd"/>
      <w:r>
        <w:t>, P. A Very Brief Introduction to Open Access. Retrieved from http://legacy.earlham.edu/~peters/fos/brief.htm</w:t>
      </w:r>
    </w:p>
  </w:footnote>
  <w:footnote w:id="4">
    <w:p w:rsidR="00C324E3" w:rsidRDefault="00C324E3" w:rsidP="00C324E3">
      <w:pPr>
        <w:pStyle w:val="FootnoteText"/>
      </w:pPr>
      <w:r>
        <w:rPr>
          <w:rStyle w:val="FootnoteReference"/>
          <w:rFonts w:eastAsia="MS Mincho"/>
        </w:rPr>
        <w:footnoteRef/>
      </w:r>
      <w:r>
        <w:t xml:space="preserve"> Open Humanities Press. What is Open Access. Retrieved from: http://openhumanitiespress.org/resources.html</w:t>
      </w:r>
    </w:p>
  </w:footnote>
  <w:footnote w:id="5">
    <w:p w:rsidR="00C324E3" w:rsidRDefault="00C324E3" w:rsidP="00C324E3">
      <w:pPr>
        <w:pStyle w:val="FootnoteText"/>
      </w:pPr>
      <w:r>
        <w:rPr>
          <w:rStyle w:val="FootnoteReference"/>
          <w:rFonts w:eastAsia="MS Mincho"/>
        </w:rPr>
        <w:footnoteRef/>
      </w:r>
      <w:r>
        <w:t xml:space="preserve"> Open Knowledge Foundation Blog. Defining Open Data. Retrieved from http://blog.okfn.org/2013/10/03/defining-open-data/</w:t>
      </w:r>
    </w:p>
  </w:footnote>
  <w:footnote w:id="6">
    <w:p w:rsidR="00C324E3" w:rsidRDefault="00C324E3" w:rsidP="00C324E3">
      <w:pPr>
        <w:pStyle w:val="FootnoteText"/>
      </w:pPr>
      <w:r>
        <w:rPr>
          <w:rStyle w:val="FootnoteReference"/>
          <w:rFonts w:eastAsia="MS Mincho"/>
        </w:rPr>
        <w:footnoteRef/>
      </w:r>
      <w:r>
        <w:t xml:space="preserve"> </w:t>
      </w:r>
      <w:proofErr w:type="spellStart"/>
      <w:r>
        <w:t>LinkedGov</w:t>
      </w:r>
      <w:proofErr w:type="spellEnd"/>
      <w:r>
        <w:t xml:space="preserve">. What is Open Data-Our definition of open data. Retrieved from </w:t>
      </w:r>
      <w:hyperlink r:id="rId2" w:history="1">
        <w:r>
          <w:rPr>
            <w:rStyle w:val="Hyperlink"/>
          </w:rPr>
          <w:t>http://linkedgov.org/what-is-open-data/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BF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15:restartNumberingAfterBreak="0">
    <w:nsid w:val="055C549A"/>
    <w:multiLevelType w:val="multilevel"/>
    <w:tmpl w:val="D324AEDA"/>
    <w:lvl w:ilvl="0">
      <w:start w:val="1"/>
      <w:numFmt w:val="decimal"/>
      <w:lvlText w:val="%1."/>
      <w:lvlJc w:val="left"/>
      <w:pPr>
        <w:tabs>
          <w:tab w:val="num" w:pos="737"/>
        </w:tabs>
        <w:ind w:left="737" w:hanging="737"/>
      </w:pPr>
    </w:lvl>
    <w:lvl w:ilvl="1">
      <w:start w:val="1"/>
      <w:numFmt w:val="decimal"/>
      <w:lvlText w:val="%2."/>
      <w:lvlJc w:val="left"/>
      <w:pPr>
        <w:tabs>
          <w:tab w:val="num" w:pos="737"/>
        </w:tabs>
        <w:ind w:left="737" w:hanging="737"/>
      </w:pPr>
      <w:rPr>
        <w:rFonts w:hint="default"/>
      </w:rPr>
    </w:lvl>
    <w:lvl w:ilvl="2">
      <w:start w:val="1"/>
      <w:numFmt w:val="lowerLetter"/>
      <w:lvlText w:val="%3)"/>
      <w:lvlJc w:val="left"/>
      <w:pPr>
        <w:tabs>
          <w:tab w:val="num" w:pos="1588"/>
        </w:tabs>
        <w:ind w:left="1588" w:hanging="851"/>
      </w:pPr>
    </w:lvl>
    <w:lvl w:ilvl="3">
      <w:start w:val="1"/>
      <w:numFmt w:val="decimal"/>
      <w:lvlText w:val="%1.%2.%3.%4."/>
      <w:lvlJc w:val="left"/>
      <w:pPr>
        <w:tabs>
          <w:tab w:val="num" w:pos="2495"/>
        </w:tabs>
        <w:ind w:left="2495" w:hanging="90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4A47F4"/>
    <w:multiLevelType w:val="multilevel"/>
    <w:tmpl w:val="E060460C"/>
    <w:styleLink w:val="FinalDoctorateHeadingsforchapters"/>
    <w:lvl w:ilvl="0">
      <w:start w:val="2"/>
      <w:numFmt w:val="decimal"/>
      <w:suff w:val="space"/>
      <w:lvlText w:val="Chapter %1"/>
      <w:lvlJc w:val="left"/>
      <w:pPr>
        <w:ind w:left="0" w:firstLine="0"/>
      </w:pPr>
      <w:rPr>
        <w:rFonts w:ascii="Arial" w:hAnsi="Arial" w:cs="Arial" w:hint="default"/>
        <w:b/>
        <w:i w:val="0"/>
        <w:sz w:val="48"/>
      </w:rPr>
    </w:lvl>
    <w:lvl w:ilvl="1">
      <w:start w:val="1"/>
      <w:numFmt w:val="decimal"/>
      <w:lvlText w:val="%1.%2"/>
      <w:lvlJc w:val="left"/>
      <w:pPr>
        <w:ind w:left="1021" w:hanging="1021"/>
      </w:pPr>
      <w:rPr>
        <w:rFonts w:ascii="Arial" w:hAnsi="Arial" w:cs="Arial" w:hint="default"/>
        <w:b/>
        <w:i w:val="0"/>
        <w:color w:val="auto"/>
        <w:sz w:val="32"/>
      </w:rPr>
    </w:lvl>
    <w:lvl w:ilvl="2">
      <w:start w:val="1"/>
      <w:numFmt w:val="decimal"/>
      <w:lvlRestart w:val="0"/>
      <w:lvlText w:val="%1.%2.%3"/>
      <w:lvlJc w:val="left"/>
      <w:pPr>
        <w:tabs>
          <w:tab w:val="num" w:pos="1021"/>
        </w:tabs>
        <w:ind w:left="2211" w:hanging="1190"/>
      </w:pPr>
      <w:rPr>
        <w:rFonts w:asciiTheme="minorBidi" w:hAnsiTheme="minorBidi" w:hint="default"/>
        <w:sz w:val="24"/>
      </w:rPr>
    </w:lvl>
    <w:lvl w:ilvl="3">
      <w:start w:val="1"/>
      <w:numFmt w:val="lowerLetter"/>
      <w:lvlText w:val="%4)"/>
      <w:lvlJc w:val="left"/>
      <w:pPr>
        <w:ind w:left="2495" w:hanging="397"/>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 w15:restartNumberingAfterBreak="0">
    <w:nsid w:val="076C6B52"/>
    <w:multiLevelType w:val="multilevel"/>
    <w:tmpl w:val="D5DE3CBE"/>
    <w:lvl w:ilvl="0">
      <w:start w:val="4"/>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07FA3449"/>
    <w:multiLevelType w:val="hybridMultilevel"/>
    <w:tmpl w:val="237A62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8B66F1"/>
    <w:multiLevelType w:val="hybridMultilevel"/>
    <w:tmpl w:val="02222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D25D83"/>
    <w:multiLevelType w:val="multilevel"/>
    <w:tmpl w:val="57D4D5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AFE1AEB"/>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36D41E6D"/>
    <w:multiLevelType w:val="multilevel"/>
    <w:tmpl w:val="E61691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BE15F6C"/>
    <w:multiLevelType w:val="hybridMultilevel"/>
    <w:tmpl w:val="E73CA4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13320C"/>
    <w:multiLevelType w:val="multilevel"/>
    <w:tmpl w:val="544AF9AE"/>
    <w:styleLink w:val="Documentheadings"/>
    <w:lvl w:ilvl="0">
      <w:start w:val="1"/>
      <w:numFmt w:val="none"/>
      <w:pStyle w:val="Heading1"/>
      <w:lvlText w:val=""/>
      <w:lvlJc w:val="left"/>
      <w:pPr>
        <w:ind w:left="360" w:hanging="360"/>
      </w:pPr>
      <w:rPr>
        <w:rFonts w:ascii="Arial" w:hAnsi="Arial" w:hint="default"/>
        <w:color w:val="548DD4" w:themeColor="text2" w:themeTint="99"/>
        <w:sz w:val="28"/>
      </w:rPr>
    </w:lvl>
    <w:lvl w:ilvl="1">
      <w:start w:val="1"/>
      <w:numFmt w:val="decimal"/>
      <w:lvlText w:val="%2."/>
      <w:lvlJc w:val="left"/>
      <w:pPr>
        <w:ind w:left="720" w:hanging="360"/>
      </w:pPr>
      <w:rPr>
        <w:rFonts w:hint="default"/>
      </w:rPr>
    </w:lvl>
    <w:lvl w:ilvl="2">
      <w:start w:val="1"/>
      <w:numFmt w:val="decimal"/>
      <w:pStyle w:val="Heading3"/>
      <w:lvlText w:val="%2.%3"/>
      <w:lvlJc w:val="left"/>
      <w:pPr>
        <w:ind w:left="1080" w:hanging="360"/>
      </w:pPr>
      <w:rPr>
        <w:rFonts w:hint="default"/>
      </w:rPr>
    </w:lvl>
    <w:lvl w:ilvl="3">
      <w:start w:val="1"/>
      <w:numFmt w:val="decimal"/>
      <w:pStyle w:val="Heading4"/>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5A27ED"/>
    <w:multiLevelType w:val="multilevel"/>
    <w:tmpl w:val="ADA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3685C"/>
    <w:multiLevelType w:val="multilevel"/>
    <w:tmpl w:val="3C781610"/>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3" w15:restartNumberingAfterBreak="0">
    <w:nsid w:val="468806EA"/>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4D451F0C"/>
    <w:multiLevelType w:val="hybridMultilevel"/>
    <w:tmpl w:val="00D2B3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5217D8"/>
    <w:multiLevelType w:val="hybridMultilevel"/>
    <w:tmpl w:val="FB2C650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8091264"/>
    <w:multiLevelType w:val="multilevel"/>
    <w:tmpl w:val="97A2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B1203"/>
    <w:multiLevelType w:val="hybridMultilevel"/>
    <w:tmpl w:val="67C2F2D8"/>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8" w15:restartNumberingAfterBreak="0">
    <w:nsid w:val="67033DA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84071C"/>
    <w:multiLevelType w:val="multilevel"/>
    <w:tmpl w:val="9028DD20"/>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0" w15:restartNumberingAfterBreak="0">
    <w:nsid w:val="71465967"/>
    <w:multiLevelType w:val="multilevel"/>
    <w:tmpl w:val="FF6680C4"/>
    <w:lvl w:ilvl="0">
      <w:start w:val="5"/>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A2C4FD2"/>
    <w:multiLevelType w:val="multilevel"/>
    <w:tmpl w:val="D0E09C6A"/>
    <w:lvl w:ilvl="0">
      <w:start w:val="4"/>
      <w:numFmt w:val="decimal"/>
      <w:lvlText w:val="%1"/>
      <w:lvlJc w:val="left"/>
      <w:pPr>
        <w:ind w:left="360" w:hanging="360"/>
      </w:pPr>
      <w:rPr>
        <w:rFonts w:hint="default"/>
      </w:rPr>
    </w:lvl>
    <w:lvl w:ilvl="1">
      <w:start w:val="4"/>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0"/>
  </w:num>
  <w:num w:numId="8">
    <w:abstractNumId w:val="10"/>
  </w:num>
  <w:num w:numId="9">
    <w:abstractNumId w:val="7"/>
  </w:num>
  <w:num w:numId="10">
    <w:abstractNumId w:val="0"/>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num>
  <w:num w:numId="15">
    <w:abstractNumId w:val="21"/>
  </w:num>
  <w:num w:numId="16">
    <w:abstractNumId w:val="3"/>
  </w:num>
  <w:num w:numId="17">
    <w:abstractNumId w:val="19"/>
  </w:num>
  <w:num w:numId="18">
    <w:abstractNumId w:val="16"/>
  </w:num>
  <w:num w:numId="19">
    <w:abstractNumId w:val="12"/>
  </w:num>
  <w:num w:numId="20">
    <w:abstractNumId w:val="14"/>
  </w:num>
  <w:num w:numId="21">
    <w:abstractNumId w:val="4"/>
  </w:num>
  <w:num w:numId="22">
    <w:abstractNumId w:val="17"/>
  </w:num>
  <w:num w:numId="23">
    <w:abstractNumId w:val="15"/>
  </w:num>
  <w:num w:numId="24">
    <w:abstractNumId w:val="6"/>
  </w:num>
  <w:num w:numId="25">
    <w:abstractNumId w:val="8"/>
  </w:num>
  <w:num w:numId="26">
    <w:abstractNumId w:val="20"/>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04"/>
    <w:rsid w:val="00001897"/>
    <w:rsid w:val="00052811"/>
    <w:rsid w:val="000D08C4"/>
    <w:rsid w:val="000D4B61"/>
    <w:rsid w:val="001A7182"/>
    <w:rsid w:val="001D05E2"/>
    <w:rsid w:val="002024F1"/>
    <w:rsid w:val="004A010F"/>
    <w:rsid w:val="00540CA8"/>
    <w:rsid w:val="0055349B"/>
    <w:rsid w:val="00597C11"/>
    <w:rsid w:val="005B2F04"/>
    <w:rsid w:val="005B4B0F"/>
    <w:rsid w:val="006D4645"/>
    <w:rsid w:val="006E1F25"/>
    <w:rsid w:val="00725B1C"/>
    <w:rsid w:val="00734195"/>
    <w:rsid w:val="0077349F"/>
    <w:rsid w:val="007A1C90"/>
    <w:rsid w:val="007A64E2"/>
    <w:rsid w:val="007E095F"/>
    <w:rsid w:val="008414F8"/>
    <w:rsid w:val="008A3B93"/>
    <w:rsid w:val="008F64D0"/>
    <w:rsid w:val="00936954"/>
    <w:rsid w:val="009B2B23"/>
    <w:rsid w:val="00A426B6"/>
    <w:rsid w:val="00A440BE"/>
    <w:rsid w:val="00A900BF"/>
    <w:rsid w:val="00AB58A6"/>
    <w:rsid w:val="00B2021D"/>
    <w:rsid w:val="00B9408D"/>
    <w:rsid w:val="00BA3AEC"/>
    <w:rsid w:val="00BC57A9"/>
    <w:rsid w:val="00C01BCD"/>
    <w:rsid w:val="00C324E3"/>
    <w:rsid w:val="00D017FB"/>
    <w:rsid w:val="00E961D4"/>
    <w:rsid w:val="00EF0421"/>
    <w:rsid w:val="00F12A90"/>
    <w:rsid w:val="00FA2432"/>
    <w:rsid w:val="00FB172A"/>
    <w:rsid w:val="00FB42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6943"/>
  <w15:docId w15:val="{56DF0F5B-B530-40F0-98AB-321DFC50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heme="minorHAnsi" w:hAnsiTheme="minorBid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5B1C"/>
    <w:rPr>
      <w:lang w:val="en-ZA"/>
    </w:rPr>
  </w:style>
  <w:style w:type="paragraph" w:styleId="Heading1">
    <w:name w:val="heading 1"/>
    <w:next w:val="Normal"/>
    <w:link w:val="Heading1Char"/>
    <w:uiPriority w:val="9"/>
    <w:qFormat/>
    <w:rsid w:val="00725B1C"/>
    <w:pPr>
      <w:keepNext/>
      <w:keepLines/>
      <w:numPr>
        <w:numId w:val="8"/>
      </w:numPr>
      <w:spacing w:before="480" w:after="0"/>
      <w:outlineLvl w:val="0"/>
    </w:pPr>
    <w:rPr>
      <w:rFonts w:asciiTheme="majorHAnsi" w:eastAsiaTheme="majorEastAsia" w:hAnsiTheme="majorHAnsi" w:cstheme="majorBidi"/>
      <w:b/>
      <w:bCs/>
      <w:sz w:val="28"/>
      <w:szCs w:val="28"/>
      <w:lang w:val="en-ZA"/>
    </w:rPr>
  </w:style>
  <w:style w:type="paragraph" w:styleId="Heading2">
    <w:name w:val="heading 2"/>
    <w:basedOn w:val="BodyText"/>
    <w:next w:val="Normal"/>
    <w:link w:val="Heading2Char"/>
    <w:uiPriority w:val="9"/>
    <w:unhideWhenUsed/>
    <w:qFormat/>
    <w:rsid w:val="00A440BE"/>
    <w:pPr>
      <w:tabs>
        <w:tab w:val="clear" w:pos="737"/>
      </w:tabs>
      <w:ind w:left="0" w:firstLine="0"/>
      <w:outlineLvl w:val="1"/>
    </w:pPr>
    <w:rPr>
      <w:b/>
      <w:bCs/>
      <w:i/>
      <w:iCs/>
    </w:rPr>
  </w:style>
  <w:style w:type="paragraph" w:styleId="Heading3">
    <w:name w:val="heading 3"/>
    <w:basedOn w:val="Normal"/>
    <w:next w:val="Normal"/>
    <w:link w:val="Heading3Char"/>
    <w:semiHidden/>
    <w:unhideWhenUsed/>
    <w:qFormat/>
    <w:rsid w:val="00725B1C"/>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5B1C"/>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C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7C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7C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C1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7C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inalDoctorateHeadingsforchapters">
    <w:name w:val="Final Doctorate Headings for chapters"/>
    <w:uiPriority w:val="99"/>
    <w:rsid w:val="00597C11"/>
    <w:pPr>
      <w:numPr>
        <w:numId w:val="1"/>
      </w:numPr>
    </w:pPr>
  </w:style>
  <w:style w:type="character" w:customStyle="1" w:styleId="Heading1Char">
    <w:name w:val="Heading 1 Char"/>
    <w:basedOn w:val="DefaultParagraphFont"/>
    <w:link w:val="Heading1"/>
    <w:uiPriority w:val="9"/>
    <w:rsid w:val="00597C11"/>
    <w:rPr>
      <w:rFonts w:asciiTheme="majorHAnsi" w:eastAsiaTheme="majorEastAsia" w:hAnsiTheme="majorHAnsi" w:cstheme="majorBidi"/>
      <w:b/>
      <w:bCs/>
      <w:sz w:val="28"/>
      <w:szCs w:val="28"/>
      <w:lang w:val="en-ZA"/>
    </w:rPr>
  </w:style>
  <w:style w:type="character" w:customStyle="1" w:styleId="Heading2Char">
    <w:name w:val="Heading 2 Char"/>
    <w:basedOn w:val="DefaultParagraphFont"/>
    <w:link w:val="Heading2"/>
    <w:uiPriority w:val="9"/>
    <w:rsid w:val="00A440BE"/>
    <w:rPr>
      <w:rFonts w:ascii="Arial" w:eastAsia="Times New Roman" w:hAnsi="Arial" w:cs="Times New Roman"/>
      <w:b/>
      <w:bCs/>
      <w:i/>
      <w:iCs/>
      <w:szCs w:val="24"/>
      <w:lang w:val="en-GB" w:eastAsia="en-GB"/>
    </w:rPr>
  </w:style>
  <w:style w:type="character" w:customStyle="1" w:styleId="Heading3Char">
    <w:name w:val="Heading 3 Char"/>
    <w:basedOn w:val="DefaultParagraphFont"/>
    <w:link w:val="Heading3"/>
    <w:uiPriority w:val="9"/>
    <w:semiHidden/>
    <w:rsid w:val="00597C11"/>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597C11"/>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597C11"/>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597C11"/>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597C11"/>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597C11"/>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597C11"/>
    <w:rPr>
      <w:rFonts w:asciiTheme="majorHAnsi" w:eastAsiaTheme="majorEastAsia" w:hAnsiTheme="majorHAnsi" w:cstheme="majorBidi"/>
      <w:i/>
      <w:iCs/>
      <w:color w:val="404040" w:themeColor="text1" w:themeTint="BF"/>
      <w:sz w:val="20"/>
      <w:szCs w:val="20"/>
      <w:lang w:val="en-ZA"/>
    </w:rPr>
  </w:style>
  <w:style w:type="paragraph" w:styleId="Title">
    <w:name w:val="Title"/>
    <w:aliases w:val="Chapter"/>
    <w:basedOn w:val="Normal"/>
    <w:next w:val="Normal"/>
    <w:link w:val="TitleChar"/>
    <w:uiPriority w:val="10"/>
    <w:qFormat/>
    <w:rsid w:val="00597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Chapter Char"/>
    <w:basedOn w:val="DefaultParagraphFont"/>
    <w:link w:val="Title"/>
    <w:uiPriority w:val="10"/>
    <w:rsid w:val="00597C11"/>
    <w:rPr>
      <w:rFonts w:asciiTheme="majorHAnsi" w:eastAsiaTheme="majorEastAsia" w:hAnsiTheme="majorHAnsi" w:cstheme="majorBidi"/>
      <w:color w:val="17365D" w:themeColor="text2" w:themeShade="BF"/>
      <w:spacing w:val="5"/>
      <w:kern w:val="28"/>
      <w:sz w:val="52"/>
      <w:szCs w:val="52"/>
      <w:lang w:val="en-ZA"/>
    </w:rPr>
  </w:style>
  <w:style w:type="paragraph" w:styleId="Subtitle">
    <w:name w:val="Subtitle"/>
    <w:basedOn w:val="Normal"/>
    <w:next w:val="Normal"/>
    <w:link w:val="SubtitleChar"/>
    <w:uiPriority w:val="11"/>
    <w:qFormat/>
    <w:rsid w:val="00597C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7C11"/>
    <w:rPr>
      <w:rFonts w:asciiTheme="majorHAnsi" w:eastAsiaTheme="majorEastAsia" w:hAnsiTheme="majorHAnsi" w:cstheme="majorBidi"/>
      <w:i/>
      <w:iCs/>
      <w:color w:val="4F81BD" w:themeColor="accent1"/>
      <w:spacing w:val="15"/>
      <w:sz w:val="24"/>
      <w:szCs w:val="24"/>
      <w:lang w:val="en-ZA"/>
    </w:rPr>
  </w:style>
  <w:style w:type="character" w:styleId="Strong">
    <w:name w:val="Strong"/>
    <w:basedOn w:val="DefaultParagraphFont"/>
    <w:uiPriority w:val="22"/>
    <w:qFormat/>
    <w:rsid w:val="00597C11"/>
    <w:rPr>
      <w:b/>
      <w:bCs/>
    </w:rPr>
  </w:style>
  <w:style w:type="character" w:styleId="Emphasis">
    <w:name w:val="Emphasis"/>
    <w:basedOn w:val="DefaultParagraphFont"/>
    <w:uiPriority w:val="20"/>
    <w:qFormat/>
    <w:rsid w:val="00597C11"/>
    <w:rPr>
      <w:i/>
      <w:iCs/>
    </w:rPr>
  </w:style>
  <w:style w:type="paragraph" w:styleId="NoSpacing">
    <w:name w:val="No Spacing"/>
    <w:basedOn w:val="Normal"/>
    <w:uiPriority w:val="1"/>
    <w:qFormat/>
    <w:rsid w:val="00597C11"/>
    <w:pPr>
      <w:spacing w:after="0" w:line="240" w:lineRule="auto"/>
    </w:pPr>
  </w:style>
  <w:style w:type="paragraph" w:styleId="ListParagraph">
    <w:name w:val="List Paragraph"/>
    <w:basedOn w:val="Normal"/>
    <w:uiPriority w:val="34"/>
    <w:qFormat/>
    <w:rsid w:val="00597C11"/>
    <w:pPr>
      <w:ind w:left="720"/>
      <w:contextualSpacing/>
    </w:pPr>
  </w:style>
  <w:style w:type="paragraph" w:styleId="Quote">
    <w:name w:val="Quote"/>
    <w:basedOn w:val="Normal"/>
    <w:next w:val="Normal"/>
    <w:link w:val="QuoteChar"/>
    <w:uiPriority w:val="29"/>
    <w:qFormat/>
    <w:rsid w:val="00597C11"/>
    <w:rPr>
      <w:i/>
      <w:iCs/>
      <w:color w:val="000000" w:themeColor="text1"/>
    </w:rPr>
  </w:style>
  <w:style w:type="character" w:customStyle="1" w:styleId="QuoteChar">
    <w:name w:val="Quote Char"/>
    <w:basedOn w:val="DefaultParagraphFont"/>
    <w:link w:val="Quote"/>
    <w:uiPriority w:val="29"/>
    <w:rsid w:val="00597C11"/>
    <w:rPr>
      <w:i/>
      <w:iCs/>
      <w:color w:val="000000" w:themeColor="text1"/>
      <w:lang w:val="en-ZA"/>
    </w:rPr>
  </w:style>
  <w:style w:type="paragraph" w:styleId="IntenseQuote">
    <w:name w:val="Intense Quote"/>
    <w:basedOn w:val="Normal"/>
    <w:next w:val="Normal"/>
    <w:link w:val="IntenseQuoteChar"/>
    <w:uiPriority w:val="30"/>
    <w:qFormat/>
    <w:rsid w:val="00597C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7C11"/>
    <w:rPr>
      <w:b/>
      <w:bCs/>
      <w:i/>
      <w:iCs/>
      <w:color w:val="4F81BD" w:themeColor="accent1"/>
      <w:lang w:val="en-ZA"/>
    </w:rPr>
  </w:style>
  <w:style w:type="character" w:styleId="SubtleEmphasis">
    <w:name w:val="Subtle Emphasis"/>
    <w:uiPriority w:val="19"/>
    <w:qFormat/>
    <w:rsid w:val="00597C11"/>
    <w:rPr>
      <w:i/>
      <w:iCs/>
      <w:color w:val="808080" w:themeColor="text1" w:themeTint="7F"/>
    </w:rPr>
  </w:style>
  <w:style w:type="character" w:styleId="IntenseEmphasis">
    <w:name w:val="Intense Emphasis"/>
    <w:basedOn w:val="DefaultParagraphFont"/>
    <w:uiPriority w:val="21"/>
    <w:qFormat/>
    <w:rsid w:val="00597C11"/>
    <w:rPr>
      <w:b/>
      <w:bCs/>
      <w:i/>
      <w:iCs/>
      <w:color w:val="4F81BD" w:themeColor="accent1"/>
    </w:rPr>
  </w:style>
  <w:style w:type="character" w:styleId="SubtleReference">
    <w:name w:val="Subtle Reference"/>
    <w:basedOn w:val="DefaultParagraphFont"/>
    <w:uiPriority w:val="31"/>
    <w:qFormat/>
    <w:rsid w:val="00597C11"/>
    <w:rPr>
      <w:smallCaps/>
      <w:color w:val="C0504D" w:themeColor="accent2"/>
      <w:u w:val="single"/>
    </w:rPr>
  </w:style>
  <w:style w:type="character" w:styleId="IntenseReference">
    <w:name w:val="Intense Reference"/>
    <w:basedOn w:val="DefaultParagraphFont"/>
    <w:uiPriority w:val="32"/>
    <w:qFormat/>
    <w:rsid w:val="00597C11"/>
    <w:rPr>
      <w:b/>
      <w:bCs/>
      <w:smallCaps/>
      <w:color w:val="C0504D" w:themeColor="accent2"/>
      <w:spacing w:val="5"/>
      <w:u w:val="single"/>
    </w:rPr>
  </w:style>
  <w:style w:type="character" w:styleId="BookTitle">
    <w:name w:val="Book Title"/>
    <w:basedOn w:val="DefaultParagraphFont"/>
    <w:uiPriority w:val="33"/>
    <w:qFormat/>
    <w:rsid w:val="00597C11"/>
    <w:rPr>
      <w:b/>
      <w:bCs/>
      <w:smallCaps/>
      <w:spacing w:val="5"/>
    </w:rPr>
  </w:style>
  <w:style w:type="paragraph" w:styleId="TOCHeading">
    <w:name w:val="TOC Heading"/>
    <w:basedOn w:val="Heading1"/>
    <w:next w:val="Normal"/>
    <w:uiPriority w:val="39"/>
    <w:semiHidden/>
    <w:unhideWhenUsed/>
    <w:qFormat/>
    <w:rsid w:val="00597C11"/>
    <w:pPr>
      <w:numPr>
        <w:numId w:val="0"/>
      </w:numPr>
      <w:outlineLvl w:val="9"/>
    </w:pPr>
  </w:style>
  <w:style w:type="numbering" w:customStyle="1" w:styleId="Documentheadings">
    <w:name w:val="Document headings"/>
    <w:uiPriority w:val="99"/>
    <w:rsid w:val="00725B1C"/>
    <w:pPr>
      <w:numPr>
        <w:numId w:val="7"/>
      </w:numPr>
    </w:pPr>
  </w:style>
  <w:style w:type="character" w:styleId="Hyperlink">
    <w:name w:val="Hyperlink"/>
    <w:basedOn w:val="DefaultParagraphFont"/>
    <w:uiPriority w:val="99"/>
    <w:unhideWhenUsed/>
    <w:rsid w:val="0055349B"/>
    <w:rPr>
      <w:color w:val="0000FF" w:themeColor="hyperlink"/>
      <w:u w:val="single"/>
    </w:rPr>
  </w:style>
  <w:style w:type="paragraph" w:customStyle="1" w:styleId="Default">
    <w:name w:val="Default"/>
    <w:rsid w:val="0077349F"/>
    <w:pPr>
      <w:autoSpaceDE w:val="0"/>
      <w:autoSpaceDN w:val="0"/>
      <w:adjustRightInd w:val="0"/>
      <w:spacing w:after="0" w:line="240" w:lineRule="auto"/>
    </w:pPr>
    <w:rPr>
      <w:rFonts w:ascii="Times New Roman" w:hAnsi="Times New Roman" w:cs="Times New Roman"/>
      <w:color w:val="000000"/>
      <w:sz w:val="24"/>
      <w:szCs w:val="24"/>
      <w:lang w:val="en-ZA" w:bidi="he-IL"/>
    </w:rPr>
  </w:style>
  <w:style w:type="character" w:customStyle="1" w:styleId="FootnoteTextChar">
    <w:name w:val="Footnote Text Char"/>
    <w:aliases w:val="Char Char,Footnote Text Char Char Char Char1,Footnote Text Char Char Char Char Char1,Footnote Text1 Char,Footnote Text Char Char Char Char Char Char1 Char Char,Footnote Text Char Char Char Char Char Char,Char Char Char Char Char"/>
    <w:basedOn w:val="DefaultParagraphFont"/>
    <w:link w:val="FootnoteText"/>
    <w:uiPriority w:val="99"/>
    <w:semiHidden/>
    <w:locked/>
    <w:rsid w:val="00C324E3"/>
    <w:rPr>
      <w:rFonts w:ascii="Arial" w:eastAsia="Times New Roman" w:hAnsi="Arial" w:cs="Times New Roman"/>
      <w:sz w:val="18"/>
      <w:szCs w:val="20"/>
      <w:lang w:val="en-GB" w:eastAsia="en-GB"/>
    </w:rPr>
  </w:style>
  <w:style w:type="paragraph" w:styleId="FootnoteText">
    <w:name w:val="footnote text"/>
    <w:aliases w:val="Char,Footnote Text Char Char Char,Footnote Text Char Char Char Char,Footnote Text1,Footnote Text Char Char Char Char Char Char1 Char,Footnote Text Char Char Char Char Char,Char Char Char Char"/>
    <w:basedOn w:val="Normal"/>
    <w:link w:val="FootnoteTextChar"/>
    <w:uiPriority w:val="99"/>
    <w:semiHidden/>
    <w:unhideWhenUsed/>
    <w:qFormat/>
    <w:rsid w:val="00C324E3"/>
    <w:pPr>
      <w:spacing w:after="0" w:line="240" w:lineRule="auto"/>
      <w:jc w:val="both"/>
    </w:pPr>
    <w:rPr>
      <w:rFonts w:ascii="Arial" w:eastAsia="Times New Roman" w:hAnsi="Arial" w:cs="Times New Roman"/>
      <w:sz w:val="18"/>
      <w:szCs w:val="20"/>
      <w:lang w:val="en-GB" w:eastAsia="en-GB"/>
    </w:rPr>
  </w:style>
  <w:style w:type="character" w:customStyle="1" w:styleId="FootnoteTextChar1">
    <w:name w:val="Footnote Text Char1"/>
    <w:basedOn w:val="DefaultParagraphFont"/>
    <w:uiPriority w:val="99"/>
    <w:semiHidden/>
    <w:rsid w:val="00C324E3"/>
    <w:rPr>
      <w:sz w:val="20"/>
      <w:szCs w:val="20"/>
      <w:lang w:val="en-ZA"/>
    </w:rPr>
  </w:style>
  <w:style w:type="character" w:styleId="FootnoteReference">
    <w:name w:val="footnote reference"/>
    <w:basedOn w:val="DefaultParagraphFont"/>
    <w:uiPriority w:val="99"/>
    <w:semiHidden/>
    <w:unhideWhenUsed/>
    <w:qFormat/>
    <w:rsid w:val="00C324E3"/>
    <w:rPr>
      <w:vertAlign w:val="superscript"/>
    </w:rPr>
  </w:style>
  <w:style w:type="character" w:customStyle="1" w:styleId="apple-converted-space">
    <w:name w:val="apple-converted-space"/>
    <w:basedOn w:val="DefaultParagraphFont"/>
    <w:rsid w:val="00C324E3"/>
  </w:style>
  <w:style w:type="character" w:styleId="HTMLCite">
    <w:name w:val="HTML Cite"/>
    <w:basedOn w:val="DefaultParagraphFont"/>
    <w:uiPriority w:val="99"/>
    <w:semiHidden/>
    <w:unhideWhenUsed/>
    <w:rsid w:val="00C324E3"/>
    <w:rPr>
      <w:i/>
      <w:iCs/>
    </w:rPr>
  </w:style>
  <w:style w:type="character" w:customStyle="1" w:styleId="reference-accessdate">
    <w:name w:val="reference-accessdate"/>
    <w:basedOn w:val="DefaultParagraphFont"/>
    <w:rsid w:val="00C324E3"/>
  </w:style>
  <w:style w:type="character" w:customStyle="1" w:styleId="nowrap">
    <w:name w:val="nowrap"/>
    <w:basedOn w:val="DefaultParagraphFont"/>
    <w:rsid w:val="00C324E3"/>
  </w:style>
  <w:style w:type="paragraph" w:styleId="NormalWeb">
    <w:name w:val="Normal (Web)"/>
    <w:basedOn w:val="Normal"/>
    <w:uiPriority w:val="99"/>
    <w:semiHidden/>
    <w:unhideWhenUsed/>
    <w:rsid w:val="000D08C4"/>
    <w:pPr>
      <w:spacing w:before="100" w:beforeAutospacing="1" w:after="100" w:afterAutospacing="1" w:line="240" w:lineRule="auto"/>
    </w:pPr>
    <w:rPr>
      <w:rFonts w:ascii="Times New Roman" w:eastAsia="Times New Roman" w:hAnsi="Times New Roman" w:cs="Times New Roman"/>
      <w:sz w:val="24"/>
      <w:szCs w:val="24"/>
      <w:lang w:eastAsia="en-ZA" w:bidi="he-IL"/>
    </w:rPr>
  </w:style>
  <w:style w:type="paragraph" w:styleId="BodyText">
    <w:name w:val="Body Text"/>
    <w:basedOn w:val="Normal"/>
    <w:link w:val="BodyTextChar"/>
    <w:semiHidden/>
    <w:unhideWhenUsed/>
    <w:qFormat/>
    <w:rsid w:val="00052811"/>
    <w:pPr>
      <w:tabs>
        <w:tab w:val="num" w:pos="737"/>
      </w:tabs>
      <w:spacing w:after="120" w:line="240" w:lineRule="auto"/>
      <w:ind w:left="737" w:hanging="737"/>
      <w:jc w:val="both"/>
    </w:pPr>
    <w:rPr>
      <w:rFonts w:ascii="Arial" w:eastAsia="Times New Roman" w:hAnsi="Arial" w:cs="Times New Roman"/>
      <w:szCs w:val="24"/>
      <w:lang w:val="en-GB" w:eastAsia="en-GB"/>
    </w:rPr>
  </w:style>
  <w:style w:type="character" w:customStyle="1" w:styleId="BodyTextChar">
    <w:name w:val="Body Text Char"/>
    <w:basedOn w:val="DefaultParagraphFont"/>
    <w:link w:val="BodyText"/>
    <w:semiHidden/>
    <w:rsid w:val="00052811"/>
    <w:rPr>
      <w:rFonts w:ascii="Arial" w:eastAsia="Times New Roman" w:hAnsi="Arial" w:cs="Times New Roman"/>
      <w:szCs w:val="24"/>
      <w:lang w:val="en-GB" w:eastAsia="en-GB"/>
    </w:rPr>
  </w:style>
  <w:style w:type="paragraph" w:styleId="BodyText2">
    <w:name w:val="Body Text 2"/>
    <w:basedOn w:val="Normal"/>
    <w:link w:val="BodyText2Char"/>
    <w:unhideWhenUsed/>
    <w:qFormat/>
    <w:rsid w:val="00052811"/>
    <w:pPr>
      <w:tabs>
        <w:tab w:val="num" w:pos="1588"/>
      </w:tabs>
      <w:spacing w:after="120" w:line="240" w:lineRule="auto"/>
      <w:ind w:left="1588" w:hanging="851"/>
      <w:jc w:val="both"/>
    </w:pPr>
    <w:rPr>
      <w:rFonts w:ascii="Arial" w:eastAsia="Times New Roman" w:hAnsi="Arial" w:cs="Times New Roman"/>
      <w:szCs w:val="24"/>
      <w:lang w:val="en-GB" w:eastAsia="en-GB"/>
    </w:rPr>
  </w:style>
  <w:style w:type="character" w:customStyle="1" w:styleId="BodyText2Char">
    <w:name w:val="Body Text 2 Char"/>
    <w:basedOn w:val="DefaultParagraphFont"/>
    <w:link w:val="BodyText2"/>
    <w:rsid w:val="00052811"/>
    <w:rPr>
      <w:rFonts w:ascii="Arial" w:eastAsia="Times New Roman" w:hAnsi="Arial" w:cs="Times New Roman"/>
      <w:szCs w:val="24"/>
      <w:lang w:val="en-GB" w:eastAsia="en-GB"/>
    </w:rPr>
  </w:style>
  <w:style w:type="paragraph" w:styleId="BodyText3">
    <w:name w:val="Body Text 3"/>
    <w:basedOn w:val="Normal"/>
    <w:link w:val="BodyText3Char"/>
    <w:semiHidden/>
    <w:unhideWhenUsed/>
    <w:qFormat/>
    <w:rsid w:val="00052811"/>
    <w:pPr>
      <w:tabs>
        <w:tab w:val="num" w:pos="2495"/>
      </w:tabs>
      <w:spacing w:after="120" w:line="240" w:lineRule="auto"/>
      <w:ind w:left="2495" w:hanging="907"/>
      <w:jc w:val="both"/>
    </w:pPr>
    <w:rPr>
      <w:rFonts w:ascii="Arial" w:eastAsia="Times New Roman" w:hAnsi="Arial" w:cs="Times New Roman"/>
      <w:szCs w:val="16"/>
      <w:lang w:val="en-GB" w:eastAsia="en-GB"/>
    </w:rPr>
  </w:style>
  <w:style w:type="character" w:customStyle="1" w:styleId="BodyText3Char">
    <w:name w:val="Body Text 3 Char"/>
    <w:basedOn w:val="DefaultParagraphFont"/>
    <w:link w:val="BodyText3"/>
    <w:semiHidden/>
    <w:rsid w:val="00052811"/>
    <w:rPr>
      <w:rFonts w:ascii="Arial" w:eastAsia="Times New Roman" w:hAnsi="Arial" w:cs="Times New Roman"/>
      <w:szCs w:val="16"/>
      <w:lang w:val="en-GB" w:eastAsia="en-GB"/>
    </w:rPr>
  </w:style>
  <w:style w:type="table" w:styleId="TableGrid">
    <w:name w:val="Table Grid"/>
    <w:basedOn w:val="TableNormal"/>
    <w:uiPriority w:val="59"/>
    <w:rsid w:val="00052811"/>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25"/>
    <w:rPr>
      <w:lang w:val="en-ZA"/>
    </w:rPr>
  </w:style>
  <w:style w:type="paragraph" w:styleId="Footer">
    <w:name w:val="footer"/>
    <w:basedOn w:val="Normal"/>
    <w:link w:val="FooterChar"/>
    <w:uiPriority w:val="99"/>
    <w:unhideWhenUsed/>
    <w:rsid w:val="006E1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F25"/>
    <w:rPr>
      <w:lang w:val="en-ZA"/>
    </w:rPr>
  </w:style>
  <w:style w:type="character" w:styleId="CommentReference">
    <w:name w:val="annotation reference"/>
    <w:basedOn w:val="DefaultParagraphFont"/>
    <w:uiPriority w:val="99"/>
    <w:semiHidden/>
    <w:unhideWhenUsed/>
    <w:rsid w:val="00A900BF"/>
    <w:rPr>
      <w:sz w:val="16"/>
      <w:szCs w:val="16"/>
    </w:rPr>
  </w:style>
  <w:style w:type="paragraph" w:styleId="CommentText">
    <w:name w:val="annotation text"/>
    <w:basedOn w:val="Normal"/>
    <w:link w:val="CommentTextChar"/>
    <w:uiPriority w:val="99"/>
    <w:semiHidden/>
    <w:unhideWhenUsed/>
    <w:rsid w:val="00A900BF"/>
    <w:pPr>
      <w:spacing w:line="240" w:lineRule="auto"/>
    </w:pPr>
    <w:rPr>
      <w:sz w:val="20"/>
      <w:szCs w:val="20"/>
    </w:rPr>
  </w:style>
  <w:style w:type="character" w:customStyle="1" w:styleId="CommentTextChar">
    <w:name w:val="Comment Text Char"/>
    <w:basedOn w:val="DefaultParagraphFont"/>
    <w:link w:val="CommentText"/>
    <w:uiPriority w:val="99"/>
    <w:semiHidden/>
    <w:rsid w:val="00A900BF"/>
    <w:rPr>
      <w:sz w:val="20"/>
      <w:szCs w:val="20"/>
      <w:lang w:val="en-ZA"/>
    </w:rPr>
  </w:style>
  <w:style w:type="paragraph" w:styleId="CommentSubject">
    <w:name w:val="annotation subject"/>
    <w:basedOn w:val="CommentText"/>
    <w:next w:val="CommentText"/>
    <w:link w:val="CommentSubjectChar"/>
    <w:uiPriority w:val="99"/>
    <w:semiHidden/>
    <w:unhideWhenUsed/>
    <w:rsid w:val="00A900BF"/>
    <w:rPr>
      <w:b/>
      <w:bCs/>
    </w:rPr>
  </w:style>
  <w:style w:type="character" w:customStyle="1" w:styleId="CommentSubjectChar">
    <w:name w:val="Comment Subject Char"/>
    <w:basedOn w:val="CommentTextChar"/>
    <w:link w:val="CommentSubject"/>
    <w:uiPriority w:val="99"/>
    <w:semiHidden/>
    <w:rsid w:val="00A900BF"/>
    <w:rPr>
      <w:b/>
      <w:bCs/>
      <w:sz w:val="20"/>
      <w:szCs w:val="20"/>
      <w:lang w:val="en-ZA"/>
    </w:rPr>
  </w:style>
  <w:style w:type="paragraph" w:styleId="BalloonText">
    <w:name w:val="Balloon Text"/>
    <w:basedOn w:val="Normal"/>
    <w:link w:val="BalloonTextChar"/>
    <w:uiPriority w:val="99"/>
    <w:semiHidden/>
    <w:unhideWhenUsed/>
    <w:rsid w:val="00A9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BF"/>
    <w:rPr>
      <w:rFonts w:ascii="Tahoma" w:hAnsi="Tahoma" w:cs="Tahoma"/>
      <w:sz w:val="16"/>
      <w:szCs w:val="16"/>
      <w:lang w:val="en-ZA"/>
    </w:rPr>
  </w:style>
  <w:style w:type="character" w:styleId="FollowedHyperlink">
    <w:name w:val="FollowedHyperlink"/>
    <w:basedOn w:val="DefaultParagraphFont"/>
    <w:uiPriority w:val="99"/>
    <w:semiHidden/>
    <w:unhideWhenUsed/>
    <w:rsid w:val="007A6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36506">
      <w:bodyDiv w:val="1"/>
      <w:marLeft w:val="0"/>
      <w:marRight w:val="0"/>
      <w:marTop w:val="0"/>
      <w:marBottom w:val="0"/>
      <w:divBdr>
        <w:top w:val="none" w:sz="0" w:space="0" w:color="auto"/>
        <w:left w:val="none" w:sz="0" w:space="0" w:color="auto"/>
        <w:bottom w:val="none" w:sz="0" w:space="0" w:color="auto"/>
        <w:right w:val="none" w:sz="0" w:space="0" w:color="auto"/>
      </w:divBdr>
    </w:div>
    <w:div w:id="722218675">
      <w:bodyDiv w:val="1"/>
      <w:marLeft w:val="0"/>
      <w:marRight w:val="0"/>
      <w:marTop w:val="0"/>
      <w:marBottom w:val="0"/>
      <w:divBdr>
        <w:top w:val="none" w:sz="0" w:space="0" w:color="auto"/>
        <w:left w:val="none" w:sz="0" w:space="0" w:color="auto"/>
        <w:bottom w:val="none" w:sz="0" w:space="0" w:color="auto"/>
        <w:right w:val="none" w:sz="0" w:space="0" w:color="auto"/>
      </w:divBdr>
    </w:div>
    <w:div w:id="784665122">
      <w:bodyDiv w:val="1"/>
      <w:marLeft w:val="0"/>
      <w:marRight w:val="0"/>
      <w:marTop w:val="0"/>
      <w:marBottom w:val="0"/>
      <w:divBdr>
        <w:top w:val="none" w:sz="0" w:space="0" w:color="auto"/>
        <w:left w:val="none" w:sz="0" w:space="0" w:color="auto"/>
        <w:bottom w:val="none" w:sz="0" w:space="0" w:color="auto"/>
        <w:right w:val="none" w:sz="0" w:space="0" w:color="auto"/>
      </w:divBdr>
    </w:div>
    <w:div w:id="803427036">
      <w:bodyDiv w:val="1"/>
      <w:marLeft w:val="0"/>
      <w:marRight w:val="0"/>
      <w:marTop w:val="0"/>
      <w:marBottom w:val="0"/>
      <w:divBdr>
        <w:top w:val="none" w:sz="0" w:space="0" w:color="auto"/>
        <w:left w:val="none" w:sz="0" w:space="0" w:color="auto"/>
        <w:bottom w:val="none" w:sz="0" w:space="0" w:color="auto"/>
        <w:right w:val="none" w:sz="0" w:space="0" w:color="auto"/>
      </w:divBdr>
    </w:div>
    <w:div w:id="1265770236">
      <w:bodyDiv w:val="1"/>
      <w:marLeft w:val="0"/>
      <w:marRight w:val="0"/>
      <w:marTop w:val="0"/>
      <w:marBottom w:val="0"/>
      <w:divBdr>
        <w:top w:val="none" w:sz="0" w:space="0" w:color="auto"/>
        <w:left w:val="none" w:sz="0" w:space="0" w:color="auto"/>
        <w:bottom w:val="none" w:sz="0" w:space="0" w:color="auto"/>
        <w:right w:val="none" w:sz="0" w:space="0" w:color="auto"/>
      </w:divBdr>
    </w:div>
    <w:div w:id="1320616693">
      <w:bodyDiv w:val="1"/>
      <w:marLeft w:val="0"/>
      <w:marRight w:val="0"/>
      <w:marTop w:val="0"/>
      <w:marBottom w:val="0"/>
      <w:divBdr>
        <w:top w:val="none" w:sz="0" w:space="0" w:color="auto"/>
        <w:left w:val="none" w:sz="0" w:space="0" w:color="auto"/>
        <w:bottom w:val="none" w:sz="0" w:space="0" w:color="auto"/>
        <w:right w:val="none" w:sz="0" w:space="0" w:color="auto"/>
      </w:divBdr>
    </w:div>
    <w:div w:id="1513757844">
      <w:bodyDiv w:val="1"/>
      <w:marLeft w:val="0"/>
      <w:marRight w:val="0"/>
      <w:marTop w:val="0"/>
      <w:marBottom w:val="0"/>
      <w:divBdr>
        <w:top w:val="none" w:sz="0" w:space="0" w:color="auto"/>
        <w:left w:val="none" w:sz="0" w:space="0" w:color="auto"/>
        <w:bottom w:val="none" w:sz="0" w:space="0" w:color="auto"/>
        <w:right w:val="none" w:sz="0" w:space="0" w:color="auto"/>
      </w:divBdr>
    </w:div>
    <w:div w:id="1531411231">
      <w:bodyDiv w:val="1"/>
      <w:marLeft w:val="0"/>
      <w:marRight w:val="0"/>
      <w:marTop w:val="0"/>
      <w:marBottom w:val="0"/>
      <w:divBdr>
        <w:top w:val="none" w:sz="0" w:space="0" w:color="auto"/>
        <w:left w:val="none" w:sz="0" w:space="0" w:color="auto"/>
        <w:bottom w:val="none" w:sz="0" w:space="0" w:color="auto"/>
        <w:right w:val="none" w:sz="0" w:space="0" w:color="auto"/>
      </w:divBdr>
    </w:div>
    <w:div w:id="1759330278">
      <w:bodyDiv w:val="1"/>
      <w:marLeft w:val="0"/>
      <w:marRight w:val="0"/>
      <w:marTop w:val="0"/>
      <w:marBottom w:val="0"/>
      <w:divBdr>
        <w:top w:val="none" w:sz="0" w:space="0" w:color="auto"/>
        <w:left w:val="none" w:sz="0" w:space="0" w:color="auto"/>
        <w:bottom w:val="none" w:sz="0" w:space="0" w:color="auto"/>
        <w:right w:val="none" w:sz="0" w:space="0" w:color="auto"/>
      </w:divBdr>
    </w:div>
    <w:div w:id="1848865946">
      <w:bodyDiv w:val="1"/>
      <w:marLeft w:val="0"/>
      <w:marRight w:val="0"/>
      <w:marTop w:val="0"/>
      <w:marBottom w:val="0"/>
      <w:divBdr>
        <w:top w:val="none" w:sz="0" w:space="0" w:color="auto"/>
        <w:left w:val="none" w:sz="0" w:space="0" w:color="auto"/>
        <w:bottom w:val="none" w:sz="0" w:space="0" w:color="auto"/>
        <w:right w:val="none" w:sz="0" w:space="0" w:color="auto"/>
      </w:divBdr>
    </w:div>
    <w:div w:id="19682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version/2/" TargetMode="External"/><Relationship Id="rId13" Type="http://schemas.openxmlformats.org/officeDocument/2006/relationships/hyperlink" Target="http://www.iplaw.uct.ac.za/sites/default/files/image_tool/images/317/News/Archive/Open_Content_Licensing/UCTOpenAccess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edu/o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endefinition.org/guide/" TargetMode="External"/><Relationship Id="rId4" Type="http://schemas.openxmlformats.org/officeDocument/2006/relationships/settings" Target="settings.xml"/><Relationship Id="rId9" Type="http://schemas.openxmlformats.org/officeDocument/2006/relationships/hyperlink" Target="http://opendatahandbook.org/guide/en/what-is-open-dat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nkedgov.org/what-is-open-data/" TargetMode="External"/><Relationship Id="rId1" Type="http://schemas.openxmlformats.org/officeDocument/2006/relationships/hyperlink" Target="http://www.hewlett.org/programs/education-program/open-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072B-882D-4A67-AC25-C665EFFD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Neil Butcher</cp:lastModifiedBy>
  <cp:revision>3</cp:revision>
  <dcterms:created xsi:type="dcterms:W3CDTF">2016-04-27T05:07:00Z</dcterms:created>
  <dcterms:modified xsi:type="dcterms:W3CDTF">2016-04-27T05:16:00Z</dcterms:modified>
</cp:coreProperties>
</file>