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095F0" w14:textId="77777777" w:rsidR="00285260" w:rsidRDefault="00285260" w:rsidP="00433574">
      <w:pPr>
        <w:pStyle w:val="Heading1"/>
        <w:rPr>
          <w:rFonts w:ascii="Palatino Linotype" w:hAnsi="Palatino Linotype"/>
        </w:rPr>
      </w:pPr>
    </w:p>
    <w:p w14:paraId="2494FEFE" w14:textId="77777777" w:rsidR="00285260" w:rsidRDefault="00285260" w:rsidP="00433574">
      <w:pPr>
        <w:pStyle w:val="Heading1"/>
        <w:rPr>
          <w:rFonts w:ascii="Palatino Linotype" w:hAnsi="Palatino Linotype"/>
        </w:rPr>
      </w:pPr>
    </w:p>
    <w:p w14:paraId="3DCDC924" w14:textId="77777777" w:rsidR="00433574" w:rsidRPr="005841FB" w:rsidRDefault="007E7185" w:rsidP="00433574">
      <w:pPr>
        <w:pStyle w:val="Heading1"/>
        <w:rPr>
          <w:rFonts w:ascii="Palatino Linotype" w:hAnsi="Palatino Linotype"/>
        </w:rPr>
      </w:pPr>
      <w:r w:rsidRPr="005841FB">
        <w:rPr>
          <w:rFonts w:ascii="Palatino Linotype" w:hAnsi="Palatino Linotype"/>
        </w:rPr>
        <w:t xml:space="preserve">Emerging Lessons from the </w:t>
      </w:r>
      <w:r w:rsidRPr="005841FB">
        <w:rPr>
          <w:rFonts w:ascii="Palatino Linotype" w:hAnsi="Palatino Linotype"/>
          <w:i/>
        </w:rPr>
        <w:t>OER Africa</w:t>
      </w:r>
      <w:r w:rsidRPr="005841FB">
        <w:rPr>
          <w:rFonts w:ascii="Palatino Linotype" w:hAnsi="Palatino Linotype"/>
        </w:rPr>
        <w:t xml:space="preserve"> Institutional Engagement Grant</w:t>
      </w:r>
    </w:p>
    <w:p w14:paraId="1AAA4D10" w14:textId="77777777" w:rsidR="007E7185" w:rsidRPr="005841FB" w:rsidRDefault="007E7185" w:rsidP="007E7185">
      <w:pPr>
        <w:pStyle w:val="Heading2"/>
        <w:rPr>
          <w:rFonts w:ascii="Palatino Linotype" w:hAnsi="Palatino Linotype"/>
        </w:rPr>
      </w:pPr>
      <w:r w:rsidRPr="005841FB">
        <w:rPr>
          <w:rFonts w:ascii="Palatino Linotype" w:hAnsi="Palatino Linotype"/>
        </w:rPr>
        <w:t>Introduction</w:t>
      </w:r>
    </w:p>
    <w:p w14:paraId="125B1045" w14:textId="77777777" w:rsidR="009E1FF0" w:rsidRPr="005841FB" w:rsidRDefault="009E1FF0" w:rsidP="009E1FF0">
      <w:pPr>
        <w:rPr>
          <w:rFonts w:ascii="Palatino Linotype" w:hAnsi="Palatino Linotype"/>
          <w:lang w:eastAsia="ja-JP"/>
        </w:rPr>
      </w:pPr>
      <w:r w:rsidRPr="005841FB">
        <w:rPr>
          <w:rFonts w:ascii="Palatino Linotype" w:hAnsi="Palatino Linotype"/>
          <w:lang w:eastAsia="ja-JP"/>
        </w:rPr>
        <w:t xml:space="preserve">Since inception in 2008, </w:t>
      </w:r>
      <w:r w:rsidRPr="005841FB">
        <w:rPr>
          <w:rFonts w:ascii="Palatino Linotype" w:hAnsi="Palatino Linotype"/>
          <w:i/>
          <w:lang w:eastAsia="ja-JP"/>
        </w:rPr>
        <w:t>OER Africa</w:t>
      </w:r>
      <w:r w:rsidRPr="005841FB">
        <w:rPr>
          <w:rFonts w:ascii="Palatino Linotype" w:hAnsi="Palatino Linotype"/>
          <w:lang w:eastAsia="ja-JP"/>
        </w:rPr>
        <w:t xml:space="preserve"> has sought to respond to the challenges faced by educators in Africa’s universities by working with them to collaboratively develop and implement open educational resource (OER) processes to redress specific teaching and learning insufficiencies. These processes have been tailor-made to fit the realities of the contexts within which they are to be applied, including inadequate bandwidth, a shortage of skills to develop and adapt relevant and appropriate teaching and learning materials, insufficient funding and over-stretched human resources. Strategies implemented to this end have included OER sensitization and advocacy, proof of OER concept pilot projects, policy work, materials development and adaptation, course design</w:t>
      </w:r>
      <w:r w:rsidR="00137F10" w:rsidRPr="005841FB">
        <w:rPr>
          <w:rFonts w:ascii="Palatino Linotype" w:hAnsi="Palatino Linotype"/>
          <w:lang w:eastAsia="ja-JP"/>
        </w:rPr>
        <w:t>,</w:t>
      </w:r>
      <w:r w:rsidRPr="005841FB">
        <w:rPr>
          <w:rFonts w:ascii="Palatino Linotype" w:hAnsi="Palatino Linotype"/>
          <w:lang w:eastAsia="ja-JP"/>
        </w:rPr>
        <w:t xml:space="preserve"> and action research. </w:t>
      </w:r>
    </w:p>
    <w:p w14:paraId="4A8BD60C" w14:textId="77777777" w:rsidR="009E1FF0" w:rsidRPr="005841FB" w:rsidRDefault="009E1FF0" w:rsidP="009E1FF0">
      <w:pPr>
        <w:rPr>
          <w:rFonts w:ascii="Palatino Linotype" w:hAnsi="Palatino Linotype"/>
          <w:lang w:eastAsia="ja-JP"/>
        </w:rPr>
      </w:pPr>
    </w:p>
    <w:p w14:paraId="719F5FED" w14:textId="67A8FE8F" w:rsidR="009E1FF0" w:rsidRPr="005841FB" w:rsidRDefault="009E1FF0" w:rsidP="009E1FF0">
      <w:pPr>
        <w:rPr>
          <w:rFonts w:ascii="Palatino Linotype" w:eastAsia="Georgia" w:hAnsi="Palatino Linotype"/>
          <w:lang w:eastAsia="ja-JP"/>
        </w:rPr>
      </w:pPr>
      <w:r w:rsidRPr="005841FB">
        <w:rPr>
          <w:rFonts w:ascii="Palatino Linotype" w:hAnsi="Palatino Linotype"/>
          <w:lang w:eastAsia="ja-JP"/>
        </w:rPr>
        <w:t xml:space="preserve">Initially, </w:t>
      </w:r>
      <w:r w:rsidRPr="005841FB">
        <w:rPr>
          <w:rFonts w:ascii="Palatino Linotype" w:hAnsi="Palatino Linotype"/>
          <w:i/>
          <w:lang w:eastAsia="ja-JP"/>
        </w:rPr>
        <w:t>OER Africa</w:t>
      </w:r>
      <w:r w:rsidRPr="005841FB">
        <w:rPr>
          <w:rFonts w:ascii="Palatino Linotype" w:hAnsi="Palatino Linotype"/>
          <w:lang w:eastAsia="ja-JP"/>
        </w:rPr>
        <w:t xml:space="preserve"> adopted an expansive partnership strategy </w:t>
      </w:r>
      <w:r w:rsidR="00137F10" w:rsidRPr="005841FB">
        <w:rPr>
          <w:rFonts w:ascii="Palatino Linotype" w:hAnsi="Palatino Linotype"/>
          <w:lang w:eastAsia="ja-JP"/>
        </w:rPr>
        <w:t>to advance this agenda</w:t>
      </w:r>
      <w:r w:rsidRPr="005841FB">
        <w:rPr>
          <w:rFonts w:ascii="Palatino Linotype" w:hAnsi="Palatino Linotype"/>
          <w:lang w:eastAsia="ja-JP"/>
        </w:rPr>
        <w:t>. However,</w:t>
      </w:r>
      <w:r w:rsidRPr="005841FB">
        <w:rPr>
          <w:rFonts w:ascii="Palatino Linotype" w:hAnsi="Palatino Linotype"/>
          <w:i/>
          <w:lang w:eastAsia="ja-JP"/>
        </w:rPr>
        <w:t xml:space="preserve"> </w:t>
      </w:r>
      <w:r w:rsidRPr="005841FB">
        <w:rPr>
          <w:rFonts w:ascii="Palatino Linotype" w:hAnsi="Palatino Linotype"/>
          <w:lang w:eastAsia="ja-JP"/>
        </w:rPr>
        <w:t xml:space="preserve">as its focus for its current work supported by the William and Flora Hewlett Foundation, </w:t>
      </w:r>
      <w:r w:rsidRPr="005841FB">
        <w:rPr>
          <w:rFonts w:ascii="Palatino Linotype" w:hAnsi="Palatino Linotype"/>
          <w:i/>
          <w:lang w:eastAsia="ja-JP"/>
        </w:rPr>
        <w:t xml:space="preserve">OER </w:t>
      </w:r>
      <w:r w:rsidRPr="005841FB">
        <w:rPr>
          <w:rFonts w:ascii="Palatino Linotype" w:hAnsi="Palatino Linotype"/>
          <w:lang w:eastAsia="ja-JP"/>
        </w:rPr>
        <w:t xml:space="preserve">Africa identified a need to deepen the knowledge base required to take OER in African universities to the next level – that is, the mainstreaming of engagement with OER to improve pedagogical practice. It decided to do this by </w:t>
      </w:r>
      <w:r w:rsidRPr="005841FB">
        <w:rPr>
          <w:rFonts w:ascii="Palatino Linotype" w:hAnsi="Palatino Linotype"/>
        </w:rPr>
        <w:t>supporting a small selection of universities which are committed</w:t>
      </w:r>
      <w:r w:rsidRPr="005841FB">
        <w:rPr>
          <w:rFonts w:ascii="Palatino Linotype" w:hAnsi="Palatino Linotype"/>
          <w:b/>
          <w:bCs/>
        </w:rPr>
        <w:t xml:space="preserve"> </w:t>
      </w:r>
      <w:r w:rsidRPr="005841FB">
        <w:rPr>
          <w:rFonts w:ascii="Palatino Linotype" w:hAnsi="Palatino Linotype"/>
        </w:rPr>
        <w:t xml:space="preserve">to transforming teaching and learning practices, in the context of the information society, through Action Research and Critical Practice, to </w:t>
      </w:r>
      <w:r w:rsidRPr="005841FB">
        <w:rPr>
          <w:rFonts w:ascii="Palatino Linotype" w:hAnsi="Palatino Linotype"/>
          <w:bCs/>
        </w:rPr>
        <w:t>build evidence</w:t>
      </w:r>
      <w:r w:rsidRPr="005841FB">
        <w:rPr>
          <w:rFonts w:ascii="Palatino Linotype" w:hAnsi="Palatino Linotype"/>
          <w:b/>
          <w:bCs/>
        </w:rPr>
        <w:t xml:space="preserve"> </w:t>
      </w:r>
      <w:r w:rsidRPr="005841FB">
        <w:rPr>
          <w:rFonts w:ascii="Palatino Linotype" w:hAnsi="Palatino Linotype"/>
        </w:rPr>
        <w:t>that OER practices can both lead</w:t>
      </w:r>
      <w:r w:rsidR="005841FB">
        <w:rPr>
          <w:rFonts w:ascii="Palatino Linotype" w:hAnsi="Palatino Linotype"/>
        </w:rPr>
        <w:t xml:space="preserve"> to and support transformation, </w:t>
      </w:r>
      <w:r w:rsidRPr="005841FB">
        <w:rPr>
          <w:rFonts w:ascii="Palatino Linotype" w:hAnsi="Palatino Linotype"/>
        </w:rPr>
        <w:t>and can be successfully mainstreamed and institutionalized.</w:t>
      </w:r>
    </w:p>
    <w:p w14:paraId="0A2FF193" w14:textId="77777777" w:rsidR="009E1FF0" w:rsidRPr="005841FB" w:rsidRDefault="009E1FF0" w:rsidP="009E1FF0">
      <w:pPr>
        <w:rPr>
          <w:rFonts w:ascii="Palatino Linotype" w:hAnsi="Palatino Linotype"/>
        </w:rPr>
      </w:pPr>
    </w:p>
    <w:p w14:paraId="6C534C39" w14:textId="77777777" w:rsidR="009E1FF0" w:rsidRPr="005841FB" w:rsidRDefault="002313AD" w:rsidP="009E1FF0">
      <w:pPr>
        <w:rPr>
          <w:rFonts w:ascii="Palatino Linotype" w:hAnsi="Palatino Linotype"/>
          <w:lang w:eastAsia="ja-JP"/>
        </w:rPr>
      </w:pPr>
      <w:r w:rsidRPr="005841FB">
        <w:rPr>
          <w:rFonts w:ascii="Palatino Linotype" w:hAnsi="Palatino Linotype"/>
        </w:rPr>
        <w:t>C</w:t>
      </w:r>
      <w:r w:rsidR="009E1FF0" w:rsidRPr="005841FB">
        <w:rPr>
          <w:rFonts w:ascii="Palatino Linotype" w:hAnsi="Palatino Linotype"/>
        </w:rPr>
        <w:t xml:space="preserve">onsequently, </w:t>
      </w:r>
      <w:r w:rsidR="009E1FF0" w:rsidRPr="005841FB">
        <w:rPr>
          <w:rFonts w:ascii="Palatino Linotype" w:hAnsi="Palatino Linotype"/>
          <w:i/>
        </w:rPr>
        <w:t>OER Africa</w:t>
      </w:r>
      <w:r w:rsidR="009E1FF0" w:rsidRPr="005841FB">
        <w:rPr>
          <w:rFonts w:ascii="Palatino Linotype" w:hAnsi="Palatino Linotype"/>
        </w:rPr>
        <w:t xml:space="preserve"> is working with four universities – the African Nazarene University (ANU), the Open University of Tanzania (OUT), the University of the Free State (UFS), and the University of Pretoria’s Faculty of Veterinary Science (known as </w:t>
      </w:r>
      <w:proofErr w:type="spellStart"/>
      <w:r w:rsidR="009E1FF0" w:rsidRPr="005841FB">
        <w:rPr>
          <w:rFonts w:ascii="Palatino Linotype" w:hAnsi="Palatino Linotype"/>
        </w:rPr>
        <w:t>Onderstepoort</w:t>
      </w:r>
      <w:proofErr w:type="spellEnd"/>
      <w:r w:rsidR="009E1FF0" w:rsidRPr="005841FB">
        <w:rPr>
          <w:rFonts w:ascii="Palatino Linotype" w:hAnsi="Palatino Linotype"/>
        </w:rPr>
        <w:t xml:space="preserve">) – to support pedagogical </w:t>
      </w:r>
      <w:r w:rsidR="009E1FF0" w:rsidRPr="005841FB">
        <w:rPr>
          <w:rFonts w:ascii="Palatino Linotype" w:hAnsi="Palatino Linotype"/>
          <w:lang w:eastAsia="ja-JP"/>
        </w:rPr>
        <w:t xml:space="preserve">change using OER with a view to identifying key supporting and inhibiting factors to sustaining such changes. </w:t>
      </w:r>
      <w:r w:rsidRPr="005841FB">
        <w:rPr>
          <w:rFonts w:ascii="Palatino Linotype" w:hAnsi="Palatino Linotype"/>
          <w:lang w:eastAsia="ja-JP"/>
        </w:rPr>
        <w:t>The University of South Africa (</w:t>
      </w:r>
      <w:proofErr w:type="spellStart"/>
      <w:r w:rsidRPr="005841FB">
        <w:rPr>
          <w:rFonts w:ascii="Palatino Linotype" w:hAnsi="Palatino Linotype"/>
          <w:lang w:eastAsia="ja-JP"/>
        </w:rPr>
        <w:t>Unisa</w:t>
      </w:r>
      <w:proofErr w:type="spellEnd"/>
      <w:r w:rsidRPr="005841FB">
        <w:rPr>
          <w:rFonts w:ascii="Palatino Linotype" w:hAnsi="Palatino Linotype"/>
          <w:lang w:eastAsia="ja-JP"/>
        </w:rPr>
        <w:t xml:space="preserve">) was also one of the original partner institutions, but because it proved difficult to sign a Memorandum of Understanding between </w:t>
      </w:r>
      <w:r w:rsidRPr="005841FB">
        <w:rPr>
          <w:rFonts w:ascii="Palatino Linotype" w:hAnsi="Palatino Linotype"/>
          <w:i/>
          <w:lang w:eastAsia="ja-JP"/>
        </w:rPr>
        <w:t>OER Africa</w:t>
      </w:r>
      <w:r w:rsidRPr="005841FB">
        <w:rPr>
          <w:rFonts w:ascii="Palatino Linotype" w:hAnsi="Palatino Linotype"/>
          <w:lang w:eastAsia="ja-JP"/>
        </w:rPr>
        <w:t xml:space="preserve"> and </w:t>
      </w:r>
      <w:proofErr w:type="spellStart"/>
      <w:r w:rsidRPr="005841FB">
        <w:rPr>
          <w:rFonts w:ascii="Palatino Linotype" w:hAnsi="Palatino Linotype"/>
          <w:lang w:eastAsia="ja-JP"/>
        </w:rPr>
        <w:t>Unisa</w:t>
      </w:r>
      <w:proofErr w:type="spellEnd"/>
      <w:r w:rsidRPr="005841FB">
        <w:rPr>
          <w:rFonts w:ascii="Palatino Linotype" w:hAnsi="Palatino Linotype"/>
          <w:lang w:eastAsia="ja-JP"/>
        </w:rPr>
        <w:t xml:space="preserve"> for various reasons, </w:t>
      </w:r>
      <w:proofErr w:type="spellStart"/>
      <w:r w:rsidRPr="005841FB">
        <w:rPr>
          <w:rFonts w:ascii="Palatino Linotype" w:hAnsi="Palatino Linotype"/>
          <w:lang w:eastAsia="ja-JP"/>
        </w:rPr>
        <w:t>Unisa</w:t>
      </w:r>
      <w:proofErr w:type="spellEnd"/>
      <w:r w:rsidRPr="005841FB">
        <w:rPr>
          <w:rFonts w:ascii="Palatino Linotype" w:hAnsi="Palatino Linotype"/>
          <w:lang w:eastAsia="ja-JP"/>
        </w:rPr>
        <w:t xml:space="preserve"> was replaced by the UFS in the second half of 2015. </w:t>
      </w:r>
      <w:r w:rsidR="009E1FF0" w:rsidRPr="005841FB">
        <w:rPr>
          <w:rFonts w:ascii="Palatino Linotype" w:hAnsi="Palatino Linotype"/>
          <w:lang w:eastAsia="ja-JP"/>
        </w:rPr>
        <w:t>Our proposed approach is informed by an understanding that supporting significant change in this way requires sustained engagement and support over an extended period and that, while some critical success factors will be generic, others will be institutionally specific.</w:t>
      </w:r>
    </w:p>
    <w:p w14:paraId="52A00CE9" w14:textId="77777777" w:rsidR="007E7185" w:rsidRDefault="007E7185" w:rsidP="007E7185">
      <w:pPr>
        <w:rPr>
          <w:rFonts w:ascii="Palatino Linotype" w:hAnsi="Palatino Linotype"/>
        </w:rPr>
      </w:pPr>
    </w:p>
    <w:p w14:paraId="030711D8" w14:textId="77777777" w:rsidR="00285260" w:rsidRDefault="00285260" w:rsidP="007E7185">
      <w:pPr>
        <w:rPr>
          <w:rFonts w:ascii="Palatino Linotype" w:hAnsi="Palatino Linotype"/>
        </w:rPr>
      </w:pPr>
    </w:p>
    <w:p w14:paraId="41444E74" w14:textId="77777777" w:rsidR="00285260" w:rsidRPr="005841FB" w:rsidRDefault="00285260" w:rsidP="007E7185">
      <w:pPr>
        <w:rPr>
          <w:rFonts w:ascii="Palatino Linotype" w:hAnsi="Palatino Linotype"/>
        </w:rPr>
      </w:pPr>
    </w:p>
    <w:p w14:paraId="611C1731" w14:textId="77777777" w:rsidR="00A71E06" w:rsidRPr="005841FB" w:rsidRDefault="00A71E06" w:rsidP="007E7185">
      <w:pPr>
        <w:rPr>
          <w:rFonts w:ascii="Palatino Linotype" w:hAnsi="Palatino Linotype"/>
        </w:rPr>
      </w:pPr>
      <w:r w:rsidRPr="005841FB">
        <w:rPr>
          <w:rFonts w:ascii="Palatino Linotype" w:hAnsi="Palatino Linotype"/>
        </w:rPr>
        <w:lastRenderedPageBreak/>
        <w:t>As the second year of this work draws to a close</w:t>
      </w:r>
      <w:r w:rsidR="00EB42CD" w:rsidRPr="005841FB">
        <w:rPr>
          <w:rFonts w:ascii="Palatino Linotype" w:hAnsi="Palatino Linotype"/>
        </w:rPr>
        <w:t>, it is opportune to reflect in general terms on lessons emerging from work across these four institutions.</w:t>
      </w:r>
      <w:r w:rsidRPr="005841FB">
        <w:rPr>
          <w:rFonts w:ascii="Palatino Linotype" w:hAnsi="Palatino Linotype"/>
        </w:rPr>
        <w:t xml:space="preserve"> </w:t>
      </w:r>
      <w:r w:rsidR="00C978FC" w:rsidRPr="005841FB">
        <w:rPr>
          <w:rFonts w:ascii="Palatino Linotype" w:hAnsi="Palatino Linotype"/>
        </w:rPr>
        <w:t xml:space="preserve">This reflection commences with a summary of the approach that has guided </w:t>
      </w:r>
      <w:r w:rsidR="00C978FC" w:rsidRPr="005841FB">
        <w:rPr>
          <w:rFonts w:ascii="Palatino Linotype" w:hAnsi="Palatino Linotype"/>
          <w:i/>
        </w:rPr>
        <w:t>OER Africa</w:t>
      </w:r>
      <w:r w:rsidR="00C978FC" w:rsidRPr="005841FB">
        <w:rPr>
          <w:rFonts w:ascii="Palatino Linotype" w:hAnsi="Palatino Linotype"/>
        </w:rPr>
        <w:t xml:space="preserve"> in its engagement with institutions</w:t>
      </w:r>
      <w:r w:rsidR="00724BD8" w:rsidRPr="005841FB">
        <w:rPr>
          <w:rFonts w:ascii="Palatino Linotype" w:hAnsi="Palatino Linotype"/>
        </w:rPr>
        <w:t>, the ‘theory of change’</w:t>
      </w:r>
      <w:r w:rsidR="00C978FC" w:rsidRPr="005841FB">
        <w:rPr>
          <w:rFonts w:ascii="Palatino Linotype" w:hAnsi="Palatino Linotype"/>
        </w:rPr>
        <w:t>.</w:t>
      </w:r>
    </w:p>
    <w:p w14:paraId="0DB296C2" w14:textId="77777777" w:rsidR="00C978FC" w:rsidRPr="005841FB" w:rsidRDefault="00724BD8" w:rsidP="007A518F">
      <w:pPr>
        <w:pStyle w:val="Heading3"/>
        <w:rPr>
          <w:rFonts w:ascii="Palatino Linotype" w:hAnsi="Palatino Linotype"/>
        </w:rPr>
      </w:pPr>
      <w:r w:rsidRPr="005841FB">
        <w:rPr>
          <w:rFonts w:ascii="Palatino Linotype" w:hAnsi="Palatino Linotype"/>
        </w:rPr>
        <w:t xml:space="preserve">Theory of </w:t>
      </w:r>
      <w:r w:rsidR="007A518F" w:rsidRPr="005841FB">
        <w:rPr>
          <w:rFonts w:ascii="Palatino Linotype" w:hAnsi="Palatino Linotype"/>
        </w:rPr>
        <w:t>c</w:t>
      </w:r>
      <w:r w:rsidRPr="005841FB">
        <w:rPr>
          <w:rFonts w:ascii="Palatino Linotype" w:hAnsi="Palatino Linotype"/>
        </w:rPr>
        <w:t>hange</w:t>
      </w:r>
    </w:p>
    <w:p w14:paraId="174E4FCB" w14:textId="77777777" w:rsidR="00724BD8" w:rsidRPr="005841FB" w:rsidRDefault="00724BD8" w:rsidP="00724BD8">
      <w:pPr>
        <w:rPr>
          <w:rFonts w:ascii="Palatino Linotype" w:eastAsia="Georgia" w:hAnsi="Palatino Linotype"/>
          <w:lang w:eastAsia="ja-JP"/>
        </w:rPr>
      </w:pPr>
      <w:r w:rsidRPr="005841FB">
        <w:rPr>
          <w:rFonts w:ascii="Palatino Linotype" w:hAnsi="Palatino Linotype"/>
          <w:i/>
        </w:rPr>
        <w:t>OER Africa</w:t>
      </w:r>
      <w:r w:rsidRPr="005841FB">
        <w:rPr>
          <w:rFonts w:ascii="Palatino Linotype" w:hAnsi="Palatino Linotype"/>
        </w:rPr>
        <w:t xml:space="preserve">’s experiences over the past half-decade indicate that many universities on the continent are committed to overhauling their teaching and learning practices to support their students to negotiate the knowledge / information rich societies in which they live. </w:t>
      </w:r>
      <w:r w:rsidRPr="005841FB">
        <w:rPr>
          <w:rFonts w:ascii="Palatino Linotype" w:hAnsi="Palatino Linotype"/>
          <w:i/>
        </w:rPr>
        <w:t>OER Africa</w:t>
      </w:r>
      <w:r w:rsidRPr="005841FB">
        <w:rPr>
          <w:rFonts w:ascii="Palatino Linotype" w:hAnsi="Palatino Linotype"/>
        </w:rPr>
        <w:t xml:space="preserve">'s interventions have contributed to ensuring that a critical mass of universities on the continent now understands, at least at a basic level, the concept of OER and its potential to support the transformative pedagogical agenda now required. </w:t>
      </w:r>
    </w:p>
    <w:p w14:paraId="3257E4E1" w14:textId="77777777" w:rsidR="00137F10" w:rsidRPr="005841FB" w:rsidRDefault="00137F10" w:rsidP="00724BD8">
      <w:pPr>
        <w:rPr>
          <w:rFonts w:ascii="Palatino Linotype" w:hAnsi="Palatino Linotype"/>
        </w:rPr>
      </w:pPr>
    </w:p>
    <w:p w14:paraId="70F4662D" w14:textId="77777777" w:rsidR="00724BD8" w:rsidRPr="005841FB" w:rsidRDefault="00724BD8" w:rsidP="00724BD8">
      <w:pPr>
        <w:rPr>
          <w:rFonts w:ascii="Palatino Linotype" w:hAnsi="Palatino Linotype"/>
        </w:rPr>
      </w:pPr>
      <w:r w:rsidRPr="005841FB">
        <w:rPr>
          <w:rFonts w:ascii="Palatino Linotype" w:hAnsi="Palatino Linotype"/>
        </w:rPr>
        <w:t xml:space="preserve">However, there is a need to move beyond proof-of-concept projects into longer-term faculty and institutional engagement processes, which seek to better understand what </w:t>
      </w:r>
      <w:r w:rsidRPr="005841FB">
        <w:rPr>
          <w:rFonts w:ascii="Palatino Linotype" w:eastAsia="Georgia" w:hAnsi="Palatino Linotype"/>
          <w:lang w:eastAsia="ja-JP"/>
        </w:rPr>
        <w:t xml:space="preserve">policy, regulatory, systemic, and cultural barriers impede sustainable integration of innovative OER practices into mainstream academic activities, most notably the delivery of high quality undergraduate and postgraduate programmes. Consequently, the </w:t>
      </w:r>
      <w:r w:rsidRPr="005841FB">
        <w:rPr>
          <w:rFonts w:ascii="Palatino Linotype" w:hAnsi="Palatino Linotype"/>
        </w:rPr>
        <w:t xml:space="preserve">proposed </w:t>
      </w:r>
      <w:r w:rsidRPr="005841FB">
        <w:rPr>
          <w:rFonts w:ascii="Palatino Linotype" w:hAnsi="Palatino Linotype"/>
          <w:i/>
        </w:rPr>
        <w:t>OER Africa</w:t>
      </w:r>
      <w:r w:rsidRPr="005841FB">
        <w:rPr>
          <w:rFonts w:ascii="Palatino Linotype" w:hAnsi="Palatino Linotype"/>
        </w:rPr>
        <w:t xml:space="preserve"> Theory of Change as defined in its grant proposal for this phase of work was as follows:</w:t>
      </w:r>
    </w:p>
    <w:p w14:paraId="6B00AF67" w14:textId="77777777" w:rsidR="00724BD8" w:rsidRPr="005841FB" w:rsidRDefault="00724BD8" w:rsidP="00724BD8">
      <w:pPr>
        <w:pStyle w:val="ListParagraph"/>
        <w:numPr>
          <w:ilvl w:val="0"/>
          <w:numId w:val="8"/>
        </w:numPr>
        <w:rPr>
          <w:rFonts w:ascii="Palatino Linotype" w:hAnsi="Palatino Linotype"/>
        </w:rPr>
      </w:pPr>
      <w:r w:rsidRPr="005841FB">
        <w:rPr>
          <w:rFonts w:ascii="Palatino Linotype" w:hAnsi="Palatino Linotype"/>
        </w:rPr>
        <w:t xml:space="preserve">OER has tremendous potential to function as a catalyst for educational transformation (as evidenced by the significant growth of awareness within African universities about the concept of OER and its potential to support more flexible resource-based provision </w:t>
      </w:r>
      <w:proofErr w:type="spellStart"/>
      <w:r w:rsidRPr="005841FB">
        <w:rPr>
          <w:rFonts w:ascii="Palatino Linotype" w:hAnsi="Palatino Linotype"/>
        </w:rPr>
        <w:t>centered</w:t>
      </w:r>
      <w:proofErr w:type="spellEnd"/>
      <w:r w:rsidRPr="005841FB">
        <w:rPr>
          <w:rFonts w:ascii="Palatino Linotype" w:hAnsi="Palatino Linotype"/>
        </w:rPr>
        <w:t xml:space="preserve"> on student active critical engagement rather than information transmission).OER can effectively be used to: (a) place the student at the </w:t>
      </w:r>
      <w:proofErr w:type="spellStart"/>
      <w:r w:rsidRPr="005841FB">
        <w:rPr>
          <w:rFonts w:ascii="Palatino Linotype" w:hAnsi="Palatino Linotype"/>
        </w:rPr>
        <w:t>center</w:t>
      </w:r>
      <w:proofErr w:type="spellEnd"/>
      <w:r w:rsidRPr="005841FB">
        <w:rPr>
          <w:rFonts w:ascii="Palatino Linotype" w:hAnsi="Palatino Linotype"/>
        </w:rPr>
        <w:t xml:space="preserve"> of the process of locating and developing materials and course environments; (b) shift the role of educator from lecturer to facilitator, thereby making much more productive use of educator time; and (c) facilitate development of a wide range of additional cognitive and information literacy skills that are essential in modern society</w:t>
      </w:r>
    </w:p>
    <w:p w14:paraId="1455E15B" w14:textId="77777777" w:rsidR="00724BD8" w:rsidRPr="005841FB" w:rsidRDefault="00724BD8" w:rsidP="00724BD8">
      <w:pPr>
        <w:pStyle w:val="ListParagraph"/>
        <w:numPr>
          <w:ilvl w:val="0"/>
          <w:numId w:val="8"/>
        </w:numPr>
        <w:rPr>
          <w:rFonts w:ascii="Palatino Linotype" w:hAnsi="Palatino Linotype"/>
        </w:rPr>
      </w:pPr>
      <w:r w:rsidRPr="005841FB">
        <w:rPr>
          <w:rFonts w:ascii="Palatino Linotype" w:hAnsi="Palatino Linotype"/>
        </w:rPr>
        <w:t xml:space="preserve">Despite this transformative potential, OER is largely being used to replicate traditional models of education where the learner is a consumer. There is limited evidence of transformative pedagogical changes occurring in a sustainable way within universities. A key reason for this is the existence of significant </w:t>
      </w:r>
      <w:r w:rsidRPr="005841FB">
        <w:rPr>
          <w:rFonts w:ascii="Palatino Linotype" w:eastAsia="Georgia" w:hAnsi="Palatino Linotype"/>
          <w:lang w:eastAsia="ja-JP"/>
        </w:rPr>
        <w:t xml:space="preserve">policy, regulatory, systemic, and cultural barriers to transformative pedagogical practice, which make sustained integration of innovation into academic activities difficult to achieve. </w:t>
      </w:r>
    </w:p>
    <w:p w14:paraId="3DB318EE" w14:textId="77777777" w:rsidR="00724BD8" w:rsidRPr="005841FB" w:rsidRDefault="00724BD8" w:rsidP="00724BD8">
      <w:pPr>
        <w:pStyle w:val="ListParagraph"/>
        <w:numPr>
          <w:ilvl w:val="0"/>
          <w:numId w:val="8"/>
        </w:numPr>
        <w:rPr>
          <w:rFonts w:ascii="Palatino Linotype" w:hAnsi="Palatino Linotype"/>
        </w:rPr>
      </w:pPr>
      <w:r w:rsidRPr="005841FB">
        <w:rPr>
          <w:rFonts w:ascii="Palatino Linotype" w:hAnsi="Palatino Linotype"/>
        </w:rPr>
        <w:t>Effecting meaningful educational transformation aimed at overcoming these barriers requires long-term engagement with institutions and accompanying systemic and cultural change – best underpinned by strong leadership and simplified, focused policies. Until this deeper process of systemic transformation – at both faculty and university level – is attempted by a few pioneering universities, and the lessons of experience are openly shared and can be debated, it is unlikely that decision-makers in higher education more broadly will begin to institute wider institutional and national policies that support sustained, educationally effective use of OER.</w:t>
      </w:r>
    </w:p>
    <w:p w14:paraId="1AD03722" w14:textId="77777777" w:rsidR="00724BD8" w:rsidRDefault="00724BD8" w:rsidP="00724BD8">
      <w:pPr>
        <w:rPr>
          <w:rFonts w:ascii="Palatino Linotype" w:hAnsi="Palatino Linotype"/>
        </w:rPr>
      </w:pPr>
    </w:p>
    <w:p w14:paraId="7482A0D1" w14:textId="77777777" w:rsidR="00285260" w:rsidRDefault="00285260" w:rsidP="00724BD8">
      <w:pPr>
        <w:rPr>
          <w:rFonts w:ascii="Palatino Linotype" w:hAnsi="Palatino Linotype"/>
        </w:rPr>
      </w:pPr>
    </w:p>
    <w:p w14:paraId="52605940" w14:textId="77777777" w:rsidR="00285260" w:rsidRPr="005841FB" w:rsidRDefault="00285260" w:rsidP="00724BD8">
      <w:pPr>
        <w:rPr>
          <w:rFonts w:ascii="Palatino Linotype" w:hAnsi="Palatino Linotype"/>
        </w:rPr>
      </w:pPr>
    </w:p>
    <w:p w14:paraId="40DFD091" w14:textId="77777777" w:rsidR="00724BD8" w:rsidRPr="005841FB" w:rsidRDefault="00724BD8" w:rsidP="00724BD8">
      <w:pPr>
        <w:rPr>
          <w:rFonts w:ascii="Palatino Linotype" w:hAnsi="Palatino Linotype"/>
        </w:rPr>
      </w:pPr>
      <w:r w:rsidRPr="005841FB">
        <w:rPr>
          <w:rFonts w:ascii="Palatino Linotype" w:hAnsi="Palatino Linotype"/>
        </w:rPr>
        <w:lastRenderedPageBreak/>
        <w:t xml:space="preserve">The thinking at the outset of this work was that, if this process of change was accompanied by rigorous research and sustained advocacy (that involves the institutions themselves in sharing their experiences), it </w:t>
      </w:r>
      <w:r w:rsidR="00137F10" w:rsidRPr="005841FB">
        <w:rPr>
          <w:rFonts w:ascii="Palatino Linotype" w:hAnsi="Palatino Linotype"/>
        </w:rPr>
        <w:t xml:space="preserve">could </w:t>
      </w:r>
      <w:r w:rsidRPr="005841FB">
        <w:rPr>
          <w:rFonts w:ascii="Palatino Linotype" w:hAnsi="Palatino Linotype"/>
        </w:rPr>
        <w:t xml:space="preserve">then be used to present to key decision makers (at a governmental level) and university administrators (such as senior management and Faculty Deans), practical evidence of the kinds of </w:t>
      </w:r>
      <w:r w:rsidRPr="005841FB">
        <w:rPr>
          <w:rFonts w:ascii="Palatino Linotype" w:eastAsia="Georgia" w:hAnsi="Palatino Linotype"/>
          <w:lang w:eastAsia="ja-JP"/>
        </w:rPr>
        <w:t xml:space="preserve">policy, regulatory, systemic, and cultural </w:t>
      </w:r>
      <w:r w:rsidRPr="005841FB">
        <w:rPr>
          <w:rFonts w:ascii="Palatino Linotype" w:hAnsi="Palatino Linotype"/>
        </w:rPr>
        <w:t>changes needed to effect the changes in pedagogical practice that higher education experts routinely discuss, but seldom implement</w:t>
      </w:r>
      <w:r w:rsidR="00137F10" w:rsidRPr="005841FB">
        <w:rPr>
          <w:rFonts w:ascii="Palatino Linotype" w:hAnsi="Palatino Linotype"/>
        </w:rPr>
        <w:t>ed</w:t>
      </w:r>
      <w:r w:rsidRPr="005841FB">
        <w:rPr>
          <w:rFonts w:ascii="Palatino Linotype" w:hAnsi="Palatino Linotype"/>
        </w:rPr>
        <w:t xml:space="preserve"> on any significant scale. This practical evidence </w:t>
      </w:r>
      <w:r w:rsidR="00137F10" w:rsidRPr="005841FB">
        <w:rPr>
          <w:rFonts w:ascii="Palatino Linotype" w:hAnsi="Palatino Linotype"/>
        </w:rPr>
        <w:t xml:space="preserve">could </w:t>
      </w:r>
      <w:r w:rsidRPr="005841FB">
        <w:rPr>
          <w:rFonts w:ascii="Palatino Linotype" w:hAnsi="Palatino Linotype"/>
        </w:rPr>
        <w:t xml:space="preserve">then be used to trigger broader processes of change by providing higher education decision makers clear guidance about the programme of action needed to implement the types of institutional changes that broader social pressures are increasingly forcing them to consider. </w:t>
      </w:r>
    </w:p>
    <w:p w14:paraId="655133E0" w14:textId="77777777" w:rsidR="00724BD8" w:rsidRPr="005841FB" w:rsidRDefault="0062263B" w:rsidP="0062263B">
      <w:pPr>
        <w:pStyle w:val="Heading3"/>
        <w:rPr>
          <w:rFonts w:ascii="Palatino Linotype" w:hAnsi="Palatino Linotype"/>
        </w:rPr>
      </w:pPr>
      <w:r w:rsidRPr="005841FB">
        <w:rPr>
          <w:rFonts w:ascii="Palatino Linotype" w:hAnsi="Palatino Linotype"/>
        </w:rPr>
        <w:t xml:space="preserve">Participatory </w:t>
      </w:r>
      <w:r w:rsidR="007A518F" w:rsidRPr="005841FB">
        <w:rPr>
          <w:rFonts w:ascii="Palatino Linotype" w:hAnsi="Palatino Linotype"/>
        </w:rPr>
        <w:t>a</w:t>
      </w:r>
      <w:r w:rsidRPr="005841FB">
        <w:rPr>
          <w:rFonts w:ascii="Palatino Linotype" w:hAnsi="Palatino Linotype"/>
        </w:rPr>
        <w:t xml:space="preserve">ction </w:t>
      </w:r>
      <w:r w:rsidR="007A518F" w:rsidRPr="005841FB">
        <w:rPr>
          <w:rFonts w:ascii="Palatino Linotype" w:hAnsi="Palatino Linotype"/>
        </w:rPr>
        <w:t>r</w:t>
      </w:r>
      <w:r w:rsidRPr="005841FB">
        <w:rPr>
          <w:rFonts w:ascii="Palatino Linotype" w:hAnsi="Palatino Linotype"/>
        </w:rPr>
        <w:t>esearch</w:t>
      </w:r>
    </w:p>
    <w:p w14:paraId="773FF31C" w14:textId="77777777" w:rsidR="00724BD8" w:rsidRPr="005841FB" w:rsidRDefault="0062263B" w:rsidP="0062263B">
      <w:pPr>
        <w:rPr>
          <w:rFonts w:ascii="Palatino Linotype" w:hAnsi="Palatino Linotype"/>
        </w:rPr>
      </w:pPr>
      <w:r w:rsidRPr="005841FB">
        <w:rPr>
          <w:rFonts w:ascii="Palatino Linotype" w:hAnsi="Palatino Linotype"/>
        </w:rPr>
        <w:t>Give the above</w:t>
      </w:r>
      <w:r w:rsidR="00724BD8" w:rsidRPr="005841FB">
        <w:rPr>
          <w:rFonts w:ascii="Palatino Linotype" w:hAnsi="Palatino Linotype"/>
        </w:rPr>
        <w:t xml:space="preserve">, </w:t>
      </w:r>
      <w:r w:rsidR="00724BD8" w:rsidRPr="005841FB">
        <w:rPr>
          <w:rFonts w:ascii="Palatino Linotype" w:hAnsi="Palatino Linotype"/>
          <w:i/>
        </w:rPr>
        <w:t>OER Africa</w:t>
      </w:r>
      <w:r w:rsidR="00724BD8" w:rsidRPr="005841FB">
        <w:rPr>
          <w:rFonts w:ascii="Palatino Linotype" w:hAnsi="Palatino Linotype"/>
        </w:rPr>
        <w:t xml:space="preserve"> </w:t>
      </w:r>
      <w:r w:rsidRPr="005841FB">
        <w:rPr>
          <w:rFonts w:ascii="Palatino Linotype" w:hAnsi="Palatino Linotype"/>
        </w:rPr>
        <w:t xml:space="preserve">decided it would attempt to </w:t>
      </w:r>
      <w:r w:rsidR="00724BD8" w:rsidRPr="005841FB">
        <w:rPr>
          <w:rFonts w:ascii="Palatino Linotype" w:hAnsi="Palatino Linotype"/>
        </w:rPr>
        <w:t xml:space="preserve">integrate a </w:t>
      </w:r>
      <w:r w:rsidRPr="005841FB">
        <w:rPr>
          <w:rFonts w:ascii="Palatino Linotype" w:hAnsi="Palatino Linotype"/>
        </w:rPr>
        <w:t>participatory action research (</w:t>
      </w:r>
      <w:r w:rsidR="00724BD8" w:rsidRPr="005841FB">
        <w:rPr>
          <w:rFonts w:ascii="Palatino Linotype" w:hAnsi="Palatino Linotype"/>
        </w:rPr>
        <w:t>PAR</w:t>
      </w:r>
      <w:r w:rsidRPr="005841FB">
        <w:rPr>
          <w:rFonts w:ascii="Palatino Linotype" w:hAnsi="Palatino Linotype"/>
        </w:rPr>
        <w:t>)</w:t>
      </w:r>
      <w:r w:rsidR="00724BD8" w:rsidRPr="005841FB">
        <w:rPr>
          <w:rFonts w:ascii="Palatino Linotype" w:hAnsi="Palatino Linotype"/>
        </w:rPr>
        <w:t xml:space="preserve"> agenda into each of </w:t>
      </w:r>
      <w:r w:rsidRPr="005841FB">
        <w:rPr>
          <w:rFonts w:ascii="Palatino Linotype" w:hAnsi="Palatino Linotype"/>
        </w:rPr>
        <w:t xml:space="preserve">its </w:t>
      </w:r>
      <w:r w:rsidR="00724BD8" w:rsidRPr="005841FB">
        <w:rPr>
          <w:rFonts w:ascii="Palatino Linotype" w:hAnsi="Palatino Linotype"/>
        </w:rPr>
        <w:t>institutional engagements</w:t>
      </w:r>
      <w:r w:rsidR="00137F10" w:rsidRPr="005841FB">
        <w:rPr>
          <w:rFonts w:ascii="Palatino Linotype" w:hAnsi="Palatino Linotype"/>
        </w:rPr>
        <w:t xml:space="preserve"> as its primary method of critical reflection</w:t>
      </w:r>
      <w:r w:rsidR="00724BD8" w:rsidRPr="005841FB">
        <w:rPr>
          <w:rFonts w:ascii="Palatino Linotype" w:hAnsi="Palatino Linotype"/>
        </w:rPr>
        <w:t xml:space="preserve">. </w:t>
      </w:r>
      <w:r w:rsidRPr="005841FB">
        <w:rPr>
          <w:rFonts w:ascii="Palatino Linotype" w:hAnsi="Palatino Linotype"/>
        </w:rPr>
        <w:t>W</w:t>
      </w:r>
      <w:r w:rsidR="00724BD8" w:rsidRPr="005841FB">
        <w:rPr>
          <w:rFonts w:ascii="Palatino Linotype" w:hAnsi="Palatino Linotype"/>
        </w:rPr>
        <w:t>e define PAR as ‘collaborative research, education and action used to gather information to use for change on social issues’</w:t>
      </w:r>
      <w:r w:rsidR="00724BD8" w:rsidRPr="005841FB">
        <w:rPr>
          <w:rStyle w:val="FootnoteReference"/>
          <w:rFonts w:ascii="Palatino Linotype" w:hAnsi="Palatino Linotype"/>
          <w:sz w:val="23"/>
          <w:szCs w:val="23"/>
        </w:rPr>
        <w:footnoteReference w:id="2"/>
      </w:r>
      <w:r w:rsidR="00724BD8" w:rsidRPr="005841FB">
        <w:rPr>
          <w:rFonts w:ascii="Palatino Linotype" w:hAnsi="Palatino Linotype"/>
        </w:rPr>
        <w:t>. It involves people who are concerned about or affected by an issue who take a leading role in producing and using knowledge about it. A PAR approach has the following features:</w:t>
      </w:r>
    </w:p>
    <w:p w14:paraId="7E9670EC" w14:textId="77777777" w:rsidR="00724BD8" w:rsidRPr="005841FB" w:rsidRDefault="00724BD8" w:rsidP="0062263B">
      <w:pPr>
        <w:pStyle w:val="ListParagraph"/>
        <w:numPr>
          <w:ilvl w:val="0"/>
          <w:numId w:val="11"/>
        </w:numPr>
        <w:rPr>
          <w:rFonts w:ascii="Palatino Linotype" w:hAnsi="Palatino Linotype"/>
        </w:rPr>
      </w:pPr>
      <w:r w:rsidRPr="005841FB">
        <w:rPr>
          <w:rFonts w:ascii="Palatino Linotype" w:hAnsi="Palatino Linotype"/>
        </w:rPr>
        <w:t>It is driven by participants;</w:t>
      </w:r>
    </w:p>
    <w:p w14:paraId="6C76FAAE" w14:textId="77777777" w:rsidR="00724BD8" w:rsidRPr="005841FB" w:rsidRDefault="00724BD8" w:rsidP="0062263B">
      <w:pPr>
        <w:pStyle w:val="ListParagraph"/>
        <w:numPr>
          <w:ilvl w:val="0"/>
          <w:numId w:val="11"/>
        </w:numPr>
        <w:rPr>
          <w:rFonts w:ascii="Palatino Linotype" w:hAnsi="Palatino Linotype"/>
        </w:rPr>
      </w:pPr>
      <w:r w:rsidRPr="005841FB">
        <w:rPr>
          <w:rFonts w:ascii="Palatino Linotype" w:hAnsi="Palatino Linotype"/>
        </w:rPr>
        <w:t>It offers a democratic model of who can produce, own and use knowledge;</w:t>
      </w:r>
    </w:p>
    <w:p w14:paraId="2B7BC33F" w14:textId="77777777" w:rsidR="00724BD8" w:rsidRPr="005841FB" w:rsidRDefault="00724BD8" w:rsidP="0062263B">
      <w:pPr>
        <w:pStyle w:val="ListParagraph"/>
        <w:numPr>
          <w:ilvl w:val="0"/>
          <w:numId w:val="11"/>
        </w:numPr>
        <w:rPr>
          <w:rFonts w:ascii="Palatino Linotype" w:hAnsi="Palatino Linotype"/>
        </w:rPr>
      </w:pPr>
      <w:r w:rsidRPr="005841FB">
        <w:rPr>
          <w:rFonts w:ascii="Palatino Linotype" w:hAnsi="Palatino Linotype"/>
        </w:rPr>
        <w:t>It is collaborative at every stage, involving discussion, pooling skills and working together;</w:t>
      </w:r>
    </w:p>
    <w:p w14:paraId="45FE203A" w14:textId="77777777" w:rsidR="00724BD8" w:rsidRPr="005841FB" w:rsidRDefault="00724BD8" w:rsidP="0062263B">
      <w:pPr>
        <w:pStyle w:val="ListParagraph"/>
        <w:numPr>
          <w:ilvl w:val="0"/>
          <w:numId w:val="11"/>
        </w:numPr>
        <w:rPr>
          <w:rFonts w:ascii="Palatino Linotype" w:hAnsi="Palatino Linotype"/>
        </w:rPr>
      </w:pPr>
      <w:r w:rsidRPr="005841FB">
        <w:rPr>
          <w:rFonts w:ascii="Palatino Linotype" w:hAnsi="Palatino Linotype"/>
        </w:rPr>
        <w:t>It is intended to result in some action, change or improvement on the issue being researched.</w:t>
      </w:r>
    </w:p>
    <w:p w14:paraId="412730D4" w14:textId="77777777" w:rsidR="00137F10" w:rsidRPr="005841FB" w:rsidRDefault="00137F10" w:rsidP="0062263B">
      <w:pPr>
        <w:rPr>
          <w:rFonts w:ascii="Palatino Linotype" w:hAnsi="Palatino Linotype"/>
        </w:rPr>
      </w:pPr>
    </w:p>
    <w:p w14:paraId="1789141A" w14:textId="77777777" w:rsidR="00724BD8" w:rsidRPr="005841FB" w:rsidRDefault="0062263B" w:rsidP="0062263B">
      <w:pPr>
        <w:rPr>
          <w:rFonts w:ascii="Palatino Linotype" w:hAnsi="Palatino Linotype"/>
        </w:rPr>
      </w:pPr>
      <w:r w:rsidRPr="005841FB">
        <w:rPr>
          <w:rFonts w:ascii="Palatino Linotype" w:hAnsi="Palatino Linotype"/>
        </w:rPr>
        <w:t>T</w:t>
      </w:r>
      <w:r w:rsidR="00724BD8" w:rsidRPr="005841FB">
        <w:rPr>
          <w:rFonts w:ascii="Palatino Linotype" w:hAnsi="Palatino Linotype"/>
        </w:rPr>
        <w:t xml:space="preserve">he PAR process is necessarily open-ended in the first phase of design, which means that specific research questions and methodologies will need to be negotiated with the participants themselves. However, it </w:t>
      </w:r>
      <w:r w:rsidRPr="005841FB">
        <w:rPr>
          <w:rFonts w:ascii="Palatino Linotype" w:hAnsi="Palatino Linotype"/>
        </w:rPr>
        <w:t xml:space="preserve">was </w:t>
      </w:r>
      <w:r w:rsidR="00724BD8" w:rsidRPr="005841FB">
        <w:rPr>
          <w:rFonts w:ascii="Palatino Linotype" w:hAnsi="Palatino Linotype"/>
        </w:rPr>
        <w:t xml:space="preserve">our expectation that the research agenda </w:t>
      </w:r>
      <w:r w:rsidRPr="005841FB">
        <w:rPr>
          <w:rFonts w:ascii="Palatino Linotype" w:hAnsi="Palatino Linotype"/>
        </w:rPr>
        <w:t xml:space="preserve">might </w:t>
      </w:r>
      <w:r w:rsidR="00724BD8" w:rsidRPr="005841FB">
        <w:rPr>
          <w:rFonts w:ascii="Palatino Linotype" w:hAnsi="Palatino Linotype"/>
        </w:rPr>
        <w:t>seek to answer the following kinds of questions, amongst others:</w:t>
      </w:r>
    </w:p>
    <w:p w14:paraId="00D4F02F"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t>What kinds of pedagogical transformation are envisaged at each of the participating institutions and within what timeframes are these changes expected to be introduced? How does this align with the OER community’s understanding of the transformative educational potential of OER?</w:t>
      </w:r>
    </w:p>
    <w:p w14:paraId="040EDA2C"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t>To what extent can use of OER constitute an effective catalyst in driving or supporting these envisaged pedagogical changes?</w:t>
      </w:r>
    </w:p>
    <w:p w14:paraId="48D48C12"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t>In what ways can a focus on pedagogical transformation serve to embed effective OER practices into mainstream institutional activities and systems, rather than these practices operating parallel to the mainstream?</w:t>
      </w:r>
    </w:p>
    <w:p w14:paraId="1D0E7BD2"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t>What opportunities already exist within universities that can be used to drive this kind of pedagogical transformation and how can these opportunities most effectively be harnessed?</w:t>
      </w:r>
    </w:p>
    <w:p w14:paraId="4FB0E362"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t>What policy, procedural, systemic, cultural, and logistical challenges and barriers inhibit these changes within institutions?</w:t>
      </w:r>
    </w:p>
    <w:p w14:paraId="500FF400"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lastRenderedPageBreak/>
        <w:t xml:space="preserve">What strategies need to be implemented to overcome these challenges? </w:t>
      </w:r>
    </w:p>
    <w:p w14:paraId="0F109632" w14:textId="77777777" w:rsidR="00724BD8" w:rsidRPr="005841FB" w:rsidRDefault="00724BD8" w:rsidP="0062263B">
      <w:pPr>
        <w:pStyle w:val="ListParagraph"/>
        <w:numPr>
          <w:ilvl w:val="0"/>
          <w:numId w:val="12"/>
        </w:numPr>
        <w:rPr>
          <w:rFonts w:ascii="Palatino Linotype" w:hAnsi="Palatino Linotype"/>
        </w:rPr>
      </w:pPr>
      <w:r w:rsidRPr="005841FB">
        <w:rPr>
          <w:rFonts w:ascii="Palatino Linotype" w:hAnsi="Palatino Linotype"/>
        </w:rPr>
        <w:t>What levels of institutional political support or championing are needed for changes made to become institutionalized?</w:t>
      </w:r>
    </w:p>
    <w:p w14:paraId="0A5EA8C0" w14:textId="77777777" w:rsidR="0062263B" w:rsidRPr="005841FB" w:rsidRDefault="0062263B" w:rsidP="0062263B">
      <w:pPr>
        <w:rPr>
          <w:rFonts w:ascii="Palatino Linotype" w:hAnsi="Palatino Linotype"/>
        </w:rPr>
      </w:pPr>
    </w:p>
    <w:p w14:paraId="6C7C8425" w14:textId="77777777" w:rsidR="0062263B" w:rsidRPr="005841FB" w:rsidRDefault="0062263B" w:rsidP="0062263B">
      <w:pPr>
        <w:rPr>
          <w:rFonts w:ascii="Palatino Linotype" w:hAnsi="Palatino Linotype"/>
        </w:rPr>
      </w:pPr>
      <w:r w:rsidRPr="005841FB">
        <w:rPr>
          <w:rFonts w:ascii="Palatino Linotype" w:hAnsi="Palatino Linotype"/>
        </w:rPr>
        <w:t>This can be represented diagrammatically as follows:</w:t>
      </w:r>
    </w:p>
    <w:p w14:paraId="7FE67AB2" w14:textId="77777777" w:rsidR="0062263B" w:rsidRPr="005841FB" w:rsidRDefault="0062263B" w:rsidP="0062263B">
      <w:pPr>
        <w:rPr>
          <w:rFonts w:ascii="Palatino Linotype" w:hAnsi="Palatino Linotype"/>
        </w:rPr>
      </w:pPr>
    </w:p>
    <w:p w14:paraId="47FDF739" w14:textId="77777777" w:rsidR="0062263B" w:rsidRPr="005841FB" w:rsidRDefault="0062263B" w:rsidP="0062263B">
      <w:pPr>
        <w:rPr>
          <w:rFonts w:ascii="Palatino Linotype" w:hAnsi="Palatino Linotype"/>
          <w:i/>
        </w:rPr>
      </w:pPr>
      <w:r w:rsidRPr="005841FB">
        <w:rPr>
          <w:rFonts w:ascii="Palatino Linotype" w:hAnsi="Palatino Linotype"/>
          <w:noProof/>
          <w:lang w:val="en-US"/>
        </w:rPr>
        <w:drawing>
          <wp:inline distT="0" distB="0" distL="0" distR="0" wp14:anchorId="40FF8A94" wp14:editId="31FF93F3">
            <wp:extent cx="5944870" cy="4458335"/>
            <wp:effectExtent l="0" t="0" r="0" b="0"/>
            <wp:docPr id="2" name="Picture 2" descr="C:\Users\USER\Desktop\PAR model v0_2 LM edit (BM,CN, NB, ABZ,T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R model v0_2 LM edit (BM,CN, NB, ABZ,TM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870" cy="4458335"/>
                    </a:xfrm>
                    <a:prstGeom prst="rect">
                      <a:avLst/>
                    </a:prstGeom>
                    <a:noFill/>
                    <a:ln>
                      <a:noFill/>
                    </a:ln>
                  </pic:spPr>
                </pic:pic>
              </a:graphicData>
            </a:graphic>
          </wp:inline>
        </w:drawing>
      </w:r>
    </w:p>
    <w:p w14:paraId="75022995" w14:textId="77777777" w:rsidR="0062263B" w:rsidRPr="005841FB" w:rsidRDefault="0062263B" w:rsidP="0062263B">
      <w:pPr>
        <w:rPr>
          <w:rFonts w:ascii="Palatino Linotype" w:hAnsi="Palatino Linotype"/>
        </w:rPr>
      </w:pPr>
    </w:p>
    <w:p w14:paraId="002111F5" w14:textId="74900754" w:rsidR="00285260" w:rsidRDefault="0062263B" w:rsidP="00285260">
      <w:pPr>
        <w:rPr>
          <w:rFonts w:ascii="Palatino Linotype" w:hAnsi="Palatino Linotype"/>
        </w:rPr>
      </w:pPr>
      <w:r w:rsidRPr="005841FB">
        <w:rPr>
          <w:rFonts w:ascii="Palatino Linotype" w:hAnsi="Palatino Linotype"/>
        </w:rPr>
        <w:t>As indicated by this diagram, we envisaged an iterative action research process, enabling organizational change, and leading to key identifiable actions and outputs that are conceived, acted upon, reviewed and revised through ongoing discussion and debate with the relevant stakeholders. It was further intended that the lessons of experience that emanate from these processes should be shared more widely through appropriately open forums. In this regard, our advocacy will seek to both stimulate further engagement with OER as a pillar of pedagogic transformation and the implementation of processes and policies that seek to ensure that such transformation becomes a reality.</w:t>
      </w:r>
    </w:p>
    <w:p w14:paraId="54761E1F" w14:textId="77777777" w:rsidR="00285260" w:rsidRDefault="00285260" w:rsidP="00285260">
      <w:pPr>
        <w:rPr>
          <w:rFonts w:ascii="Palatino Linotype" w:hAnsi="Palatino Linotype"/>
        </w:rPr>
      </w:pPr>
    </w:p>
    <w:p w14:paraId="526E67CC" w14:textId="77777777" w:rsidR="00285260" w:rsidRDefault="00285260" w:rsidP="00285260">
      <w:pPr>
        <w:rPr>
          <w:rFonts w:ascii="Palatino Linotype" w:hAnsi="Palatino Linotype"/>
        </w:rPr>
      </w:pPr>
    </w:p>
    <w:p w14:paraId="7090E375" w14:textId="77777777" w:rsidR="00285260" w:rsidRDefault="00285260" w:rsidP="00285260">
      <w:pPr>
        <w:rPr>
          <w:rFonts w:ascii="Palatino Linotype" w:hAnsi="Palatino Linotype"/>
        </w:rPr>
      </w:pPr>
    </w:p>
    <w:p w14:paraId="0173045B" w14:textId="77777777" w:rsidR="00285260" w:rsidRDefault="00285260" w:rsidP="00285260">
      <w:pPr>
        <w:rPr>
          <w:rFonts w:ascii="Palatino Linotype" w:hAnsi="Palatino Linotype"/>
        </w:rPr>
      </w:pPr>
    </w:p>
    <w:p w14:paraId="44191B25" w14:textId="77777777" w:rsidR="007A518F" w:rsidRPr="005841FB" w:rsidRDefault="007A518F" w:rsidP="00285260">
      <w:pPr>
        <w:pStyle w:val="Heading2"/>
        <w:spacing w:before="0"/>
        <w:rPr>
          <w:rFonts w:ascii="Palatino Linotype" w:hAnsi="Palatino Linotype"/>
        </w:rPr>
      </w:pPr>
      <w:r w:rsidRPr="005841FB">
        <w:rPr>
          <w:rFonts w:ascii="Palatino Linotype" w:hAnsi="Palatino Linotype"/>
        </w:rPr>
        <w:lastRenderedPageBreak/>
        <w:t>What are the emerging lessons?</w:t>
      </w:r>
    </w:p>
    <w:p w14:paraId="12333495" w14:textId="77777777" w:rsidR="00137F10" w:rsidRPr="005841FB" w:rsidRDefault="00137F10" w:rsidP="007A518F">
      <w:pPr>
        <w:rPr>
          <w:rFonts w:ascii="Palatino Linotype" w:hAnsi="Palatino Linotype"/>
        </w:rPr>
      </w:pPr>
      <w:r w:rsidRPr="005841FB">
        <w:rPr>
          <w:rFonts w:ascii="Palatino Linotype" w:hAnsi="Palatino Linotype"/>
        </w:rPr>
        <w:t>As the second year of engagement with the identified institutions comes to a close, it is useful to reflect on what has been learned to date. A brief summary of key emerging lessons is presented below.</w:t>
      </w:r>
    </w:p>
    <w:p w14:paraId="5174FF4F" w14:textId="77777777" w:rsidR="007A518F" w:rsidRPr="005841FB" w:rsidRDefault="007A518F" w:rsidP="00137F10">
      <w:pPr>
        <w:pStyle w:val="Heading3"/>
        <w:rPr>
          <w:rFonts w:ascii="Palatino Linotype" w:hAnsi="Palatino Linotype"/>
        </w:rPr>
      </w:pPr>
      <w:r w:rsidRPr="005841FB">
        <w:rPr>
          <w:rFonts w:ascii="Palatino Linotype" w:hAnsi="Palatino Linotype"/>
        </w:rPr>
        <w:t xml:space="preserve">Who is </w:t>
      </w:r>
      <w:r w:rsidR="002253DF" w:rsidRPr="005841FB">
        <w:rPr>
          <w:rFonts w:ascii="Palatino Linotype" w:hAnsi="Palatino Linotype"/>
        </w:rPr>
        <w:t>d</w:t>
      </w:r>
      <w:r w:rsidRPr="005841FB">
        <w:rPr>
          <w:rFonts w:ascii="Palatino Linotype" w:hAnsi="Palatino Linotype"/>
        </w:rPr>
        <w:t xml:space="preserve">riving </w:t>
      </w:r>
      <w:r w:rsidR="002253DF" w:rsidRPr="005841FB">
        <w:rPr>
          <w:rFonts w:ascii="Palatino Linotype" w:hAnsi="Palatino Linotype"/>
        </w:rPr>
        <w:t>r</w:t>
      </w:r>
      <w:r w:rsidRPr="005841FB">
        <w:rPr>
          <w:rFonts w:ascii="Palatino Linotype" w:hAnsi="Palatino Linotype"/>
        </w:rPr>
        <w:t>esearch</w:t>
      </w:r>
      <w:r w:rsidR="00137F10" w:rsidRPr="005841FB">
        <w:rPr>
          <w:rFonts w:ascii="Palatino Linotype" w:hAnsi="Palatino Linotype"/>
        </w:rPr>
        <w:t xml:space="preserve"> and </w:t>
      </w:r>
      <w:r w:rsidR="002253DF" w:rsidRPr="005841FB">
        <w:rPr>
          <w:rFonts w:ascii="Palatino Linotype" w:hAnsi="Palatino Linotype"/>
        </w:rPr>
        <w:t>c</w:t>
      </w:r>
      <w:r w:rsidR="00137F10" w:rsidRPr="005841FB">
        <w:rPr>
          <w:rFonts w:ascii="Palatino Linotype" w:hAnsi="Palatino Linotype"/>
        </w:rPr>
        <w:t xml:space="preserve">ritical </w:t>
      </w:r>
      <w:r w:rsidR="002253DF" w:rsidRPr="005841FB">
        <w:rPr>
          <w:rFonts w:ascii="Palatino Linotype" w:hAnsi="Palatino Linotype"/>
        </w:rPr>
        <w:t>r</w:t>
      </w:r>
      <w:r w:rsidR="00137F10" w:rsidRPr="005841FB">
        <w:rPr>
          <w:rFonts w:ascii="Palatino Linotype" w:hAnsi="Palatino Linotype"/>
        </w:rPr>
        <w:t>eflection</w:t>
      </w:r>
      <w:r w:rsidRPr="005841FB">
        <w:rPr>
          <w:rFonts w:ascii="Palatino Linotype" w:hAnsi="Palatino Linotype"/>
        </w:rPr>
        <w:t>?</w:t>
      </w:r>
    </w:p>
    <w:p w14:paraId="107368F9" w14:textId="77777777" w:rsidR="00137F10" w:rsidRPr="005841FB" w:rsidRDefault="00137F10" w:rsidP="00137F10">
      <w:pPr>
        <w:rPr>
          <w:rFonts w:ascii="Palatino Linotype" w:hAnsi="Palatino Linotype"/>
        </w:rPr>
      </w:pPr>
      <w:r w:rsidRPr="005841FB">
        <w:rPr>
          <w:rFonts w:ascii="Palatino Linotype" w:hAnsi="Palatino Linotype"/>
        </w:rPr>
        <w:t xml:space="preserve">As has been indicated above, a key interest in this grant has been to explore the role of OER in improving educational practices and helping to drive pedagogical transformation. To determine the extent to which this has been achieved, it is necessary to ensure that research activities accompany any interventions, which focus on determining the extent of any improvements and/or transformation in pedagogy. Given our emphasis on PAR, this depends on participation from members of the university. </w:t>
      </w:r>
    </w:p>
    <w:p w14:paraId="368EC1D1" w14:textId="77777777" w:rsidR="00137F10" w:rsidRPr="005841FB" w:rsidRDefault="00137F10" w:rsidP="00137F10">
      <w:pPr>
        <w:rPr>
          <w:rFonts w:ascii="Palatino Linotype" w:hAnsi="Palatino Linotype"/>
        </w:rPr>
      </w:pPr>
    </w:p>
    <w:p w14:paraId="109840FC" w14:textId="2A36E327" w:rsidR="002476EB" w:rsidRPr="005841FB" w:rsidRDefault="002253DF" w:rsidP="007A518F">
      <w:pPr>
        <w:rPr>
          <w:rFonts w:ascii="Palatino Linotype" w:hAnsi="Palatino Linotype"/>
        </w:rPr>
      </w:pPr>
      <w:r w:rsidRPr="005841FB">
        <w:rPr>
          <w:rFonts w:ascii="Palatino Linotype" w:hAnsi="Palatino Linotype"/>
        </w:rPr>
        <w:t>O</w:t>
      </w:r>
      <w:r w:rsidR="00137F10" w:rsidRPr="005841FB">
        <w:rPr>
          <w:rFonts w:ascii="Palatino Linotype" w:hAnsi="Palatino Linotype"/>
        </w:rPr>
        <w:t xml:space="preserve">ur work to date </w:t>
      </w:r>
      <w:r w:rsidRPr="005841FB">
        <w:rPr>
          <w:rFonts w:ascii="Palatino Linotype" w:hAnsi="Palatino Linotype"/>
        </w:rPr>
        <w:t xml:space="preserve">suggests </w:t>
      </w:r>
      <w:r w:rsidR="00137F10" w:rsidRPr="005841FB">
        <w:rPr>
          <w:rFonts w:ascii="Palatino Linotype" w:hAnsi="Palatino Linotype"/>
        </w:rPr>
        <w:t xml:space="preserve">that it remains a challenge to inculcate a culture of systematic research and critical reflection on pedagogical practices within universities. Research into the effectiveness of different educational methods and their relative effectiveness is seldom an institutional priority, and consequently the incentives for academics or support staff to conduct such research are relatively weak. </w:t>
      </w:r>
      <w:r w:rsidR="002313AD" w:rsidRPr="005841FB">
        <w:rPr>
          <w:rFonts w:ascii="Palatino Linotype" w:hAnsi="Palatino Linotype"/>
        </w:rPr>
        <w:t xml:space="preserve">The primary research incentive remains the traditional one of individual academics pursuing research into pedagogical practices in order to advance their research careers and to derive the benefits that accrue from publication of research through formal academic channels. </w:t>
      </w:r>
      <w:r w:rsidR="00C0174D" w:rsidRPr="005841FB">
        <w:rPr>
          <w:rFonts w:ascii="Palatino Linotype" w:hAnsi="Palatino Linotype"/>
        </w:rPr>
        <w:t>Until relatively recently, even this practice was not recogni</w:t>
      </w:r>
      <w:r w:rsidR="002476EB" w:rsidRPr="005841FB">
        <w:rPr>
          <w:rFonts w:ascii="Palatino Linotype" w:hAnsi="Palatino Linotype"/>
        </w:rPr>
        <w:t>z</w:t>
      </w:r>
      <w:r w:rsidR="00C0174D" w:rsidRPr="005841FB">
        <w:rPr>
          <w:rFonts w:ascii="Palatino Linotype" w:hAnsi="Palatino Linotype"/>
        </w:rPr>
        <w:t xml:space="preserve">ed as being serious research if the author was from a discipline other than Education. While there are now well-established Teaching and Learning Centres at </w:t>
      </w:r>
      <w:r w:rsidR="002476EB" w:rsidRPr="005841FB">
        <w:rPr>
          <w:rFonts w:ascii="Palatino Linotype" w:hAnsi="Palatino Linotype"/>
        </w:rPr>
        <w:t>some u</w:t>
      </w:r>
      <w:r w:rsidR="00C0174D" w:rsidRPr="005841FB">
        <w:rPr>
          <w:rFonts w:ascii="Palatino Linotype" w:hAnsi="Palatino Linotype"/>
        </w:rPr>
        <w:t xml:space="preserve">niversities in countries </w:t>
      </w:r>
      <w:r w:rsidR="002476EB" w:rsidRPr="005841FB">
        <w:rPr>
          <w:rFonts w:ascii="Palatino Linotype" w:hAnsi="Palatino Linotype"/>
        </w:rPr>
        <w:t xml:space="preserve">like </w:t>
      </w:r>
      <w:r w:rsidR="00C0174D" w:rsidRPr="005841FB">
        <w:rPr>
          <w:rFonts w:ascii="Palatino Linotype" w:hAnsi="Palatino Linotype"/>
        </w:rPr>
        <w:t xml:space="preserve">South Africa and Australia, this is not evident elsewhere in Africa. These centres </w:t>
      </w:r>
      <w:r w:rsidR="002476EB" w:rsidRPr="005841FB">
        <w:rPr>
          <w:rFonts w:ascii="Palatino Linotype" w:hAnsi="Palatino Linotype"/>
        </w:rPr>
        <w:t xml:space="preserve">would be </w:t>
      </w:r>
      <w:r w:rsidR="00C0174D" w:rsidRPr="005841FB">
        <w:rPr>
          <w:rFonts w:ascii="Palatino Linotype" w:hAnsi="Palatino Linotype"/>
        </w:rPr>
        <w:t>the logical units to drive pedagogical transformation in higher education institutions</w:t>
      </w:r>
      <w:r w:rsidR="002476EB" w:rsidRPr="005841FB">
        <w:rPr>
          <w:rFonts w:ascii="Palatino Linotype" w:hAnsi="Palatino Linotype"/>
        </w:rPr>
        <w:t>, as can be seen from the work of the CTL at UFS</w:t>
      </w:r>
      <w:r w:rsidR="00C0174D" w:rsidRPr="005841FB">
        <w:rPr>
          <w:rFonts w:ascii="Palatino Linotype" w:hAnsi="Palatino Linotype"/>
        </w:rPr>
        <w:t xml:space="preserve">. </w:t>
      </w:r>
    </w:p>
    <w:p w14:paraId="09BE5C27" w14:textId="77777777" w:rsidR="002476EB" w:rsidRPr="005841FB" w:rsidRDefault="002476EB" w:rsidP="007A518F">
      <w:pPr>
        <w:rPr>
          <w:rFonts w:ascii="Palatino Linotype" w:hAnsi="Palatino Linotype"/>
        </w:rPr>
      </w:pPr>
    </w:p>
    <w:p w14:paraId="1DAE52F5" w14:textId="51C07E70" w:rsidR="007A518F" w:rsidRPr="005841FB" w:rsidRDefault="002313AD" w:rsidP="007A518F">
      <w:pPr>
        <w:rPr>
          <w:rFonts w:ascii="Palatino Linotype" w:hAnsi="Palatino Linotype"/>
        </w:rPr>
      </w:pPr>
      <w:r w:rsidRPr="005841FB">
        <w:rPr>
          <w:rFonts w:ascii="Palatino Linotype" w:hAnsi="Palatino Linotype"/>
        </w:rPr>
        <w:t xml:space="preserve">Thus, although there has been some evidence of wider participation in the formulation of a research agenda within institutions, the greatest successes in conducting research into OER have been registered by engaging with individual academics who are primarily interested in the research in order to produce publications or as part of completing </w:t>
      </w:r>
      <w:r w:rsidR="007A518F" w:rsidRPr="005841FB">
        <w:rPr>
          <w:rFonts w:ascii="Palatino Linotype" w:hAnsi="Palatino Linotype"/>
        </w:rPr>
        <w:t>postgraduate qualifications</w:t>
      </w:r>
      <w:r w:rsidR="00A75840" w:rsidRPr="005841FB">
        <w:rPr>
          <w:rFonts w:ascii="Palatino Linotype" w:hAnsi="Palatino Linotype"/>
        </w:rPr>
        <w:t xml:space="preserve"> (and typically this is restricted to academics in the field of education)</w:t>
      </w:r>
      <w:r w:rsidRPr="005841FB">
        <w:rPr>
          <w:rFonts w:ascii="Palatino Linotype" w:hAnsi="Palatino Linotype"/>
        </w:rPr>
        <w:t xml:space="preserve">. This has been particularly successful at OUT, where various conference papers and articles for publication have already been completed (see detailed institutional reports for details). At ANU, the research process has been driven by very productive workshop engagements, which have facilitated more widespread participation in the setting of a research agenda </w:t>
      </w:r>
      <w:r w:rsidR="00992844" w:rsidRPr="005841FB">
        <w:rPr>
          <w:rFonts w:ascii="Palatino Linotype" w:hAnsi="Palatino Linotype"/>
        </w:rPr>
        <w:t xml:space="preserve">and the development of a </w:t>
      </w:r>
      <w:r w:rsidR="00992844" w:rsidRPr="005841FB">
        <w:rPr>
          <w:rFonts w:ascii="Palatino Linotype" w:hAnsi="Palatino Linotype"/>
          <w:bCs/>
        </w:rPr>
        <w:t>postgraduate ANU higher education teaching qualification</w:t>
      </w:r>
      <w:r w:rsidRPr="005841FB">
        <w:rPr>
          <w:rFonts w:ascii="Palatino Linotype" w:hAnsi="Palatino Linotype"/>
        </w:rPr>
        <w:t>,</w:t>
      </w:r>
      <w:r w:rsidR="00992844" w:rsidRPr="005841FB">
        <w:rPr>
          <w:rFonts w:ascii="Palatino Linotype" w:hAnsi="Palatino Linotype"/>
        </w:rPr>
        <w:t xml:space="preserve"> but the most comprehensive research study is still being completed by a lecturer completing research as part of the requirements for a PhD.</w:t>
      </w:r>
    </w:p>
    <w:p w14:paraId="7D846300" w14:textId="77777777" w:rsidR="00992844" w:rsidRPr="005841FB" w:rsidRDefault="00992844" w:rsidP="007A518F">
      <w:pPr>
        <w:rPr>
          <w:rFonts w:ascii="Palatino Linotype" w:hAnsi="Palatino Linotype"/>
        </w:rPr>
      </w:pPr>
    </w:p>
    <w:p w14:paraId="5AD6FCE6" w14:textId="77777777" w:rsidR="00992844" w:rsidRPr="005841FB" w:rsidRDefault="00992844" w:rsidP="007A518F">
      <w:pPr>
        <w:rPr>
          <w:rFonts w:ascii="Palatino Linotype" w:hAnsi="Palatino Linotype"/>
        </w:rPr>
      </w:pPr>
      <w:r w:rsidRPr="005841FB">
        <w:rPr>
          <w:rFonts w:ascii="Palatino Linotype" w:hAnsi="Palatino Linotype"/>
        </w:rPr>
        <w:t xml:space="preserve">At </w:t>
      </w:r>
      <w:proofErr w:type="spellStart"/>
      <w:r w:rsidRPr="005841FB">
        <w:rPr>
          <w:rFonts w:ascii="Palatino Linotype" w:hAnsi="Palatino Linotype"/>
        </w:rPr>
        <w:t>Onderstepoort</w:t>
      </w:r>
      <w:proofErr w:type="spellEnd"/>
      <w:r w:rsidRPr="005841FB">
        <w:rPr>
          <w:rFonts w:ascii="Palatino Linotype" w:hAnsi="Palatino Linotype"/>
        </w:rPr>
        <w:t xml:space="preserve">, a research agenda has been defined, but it has proven difficult to move forward with implementing this research. This is partly due to changes in the management of the project, with the departure of the Deputy Dean responsible for the project and subsequent time taken to appoint a replacement. In addition, though, it is difficult to persuade academics </w:t>
      </w:r>
      <w:r w:rsidRPr="005841FB">
        <w:rPr>
          <w:rFonts w:ascii="Palatino Linotype" w:hAnsi="Palatino Linotype"/>
        </w:rPr>
        <w:lastRenderedPageBreak/>
        <w:t xml:space="preserve">to focus on research into pedagogy in a Faculty where careers are built largely on the basis of publishing research </w:t>
      </w:r>
      <w:r w:rsidR="002253DF" w:rsidRPr="005841FB">
        <w:rPr>
          <w:rFonts w:ascii="Palatino Linotype" w:hAnsi="Palatino Linotype"/>
        </w:rPr>
        <w:t xml:space="preserve">in the </w:t>
      </w:r>
      <w:r w:rsidRPr="005841FB">
        <w:rPr>
          <w:rFonts w:ascii="Palatino Linotype" w:hAnsi="Palatino Linotype"/>
        </w:rPr>
        <w:t>veterinary sciences. In the examples above, the researchers are typically working in the field of education in some way, so there is a direct correlation between the research focus on OER and their academic research career trajectory. However, when academics are working in a different discipline, encouraging research can be difficult</w:t>
      </w:r>
      <w:r w:rsidR="00AE2C37" w:rsidRPr="005841FB">
        <w:rPr>
          <w:rFonts w:ascii="Palatino Linotype" w:hAnsi="Palatino Linotype"/>
        </w:rPr>
        <w:t>, even in cases – as at University of Pretoria – where there are special-purpose funding vehicles (Scholarship of Teaching and Learning grants) in place to support that research</w:t>
      </w:r>
      <w:r w:rsidRPr="005841FB">
        <w:rPr>
          <w:rFonts w:ascii="Palatino Linotype" w:hAnsi="Palatino Linotype"/>
        </w:rPr>
        <w:t>.</w:t>
      </w:r>
      <w:r w:rsidR="00AE2C37" w:rsidRPr="005841FB">
        <w:rPr>
          <w:rFonts w:ascii="Palatino Linotype" w:hAnsi="Palatino Linotype"/>
        </w:rPr>
        <w:t xml:space="preserve"> Hopefully, </w:t>
      </w:r>
      <w:r w:rsidR="002253DF" w:rsidRPr="005841FB">
        <w:rPr>
          <w:rFonts w:ascii="Palatino Linotype" w:hAnsi="Palatino Linotype"/>
        </w:rPr>
        <w:t xml:space="preserve">though, </w:t>
      </w:r>
      <w:r w:rsidR="00AE2C37" w:rsidRPr="005841FB">
        <w:rPr>
          <w:rFonts w:ascii="Palatino Linotype" w:hAnsi="Palatino Linotype"/>
        </w:rPr>
        <w:t>interest in conducting research will lead to at least one funding application to that fund when the next round of applications is launched.</w:t>
      </w:r>
    </w:p>
    <w:p w14:paraId="04B0E4BE" w14:textId="77777777" w:rsidR="00AE2C37" w:rsidRPr="005841FB" w:rsidRDefault="00AE2C37" w:rsidP="007A518F">
      <w:pPr>
        <w:rPr>
          <w:rFonts w:ascii="Palatino Linotype" w:hAnsi="Palatino Linotype"/>
        </w:rPr>
      </w:pPr>
    </w:p>
    <w:p w14:paraId="1143F0B1" w14:textId="77777777" w:rsidR="00AE2C37" w:rsidRPr="005841FB" w:rsidRDefault="00AE2C37" w:rsidP="007A518F">
      <w:pPr>
        <w:rPr>
          <w:rFonts w:ascii="Palatino Linotype" w:hAnsi="Palatino Linotype"/>
        </w:rPr>
      </w:pPr>
      <w:r w:rsidRPr="005841FB">
        <w:rPr>
          <w:rFonts w:ascii="Palatino Linotype" w:hAnsi="Palatino Linotype"/>
        </w:rPr>
        <w:t xml:space="preserve">Work completed at </w:t>
      </w:r>
      <w:proofErr w:type="spellStart"/>
      <w:r w:rsidRPr="005841FB">
        <w:rPr>
          <w:rFonts w:ascii="Palatino Linotype" w:hAnsi="Palatino Linotype"/>
        </w:rPr>
        <w:t>Unisa</w:t>
      </w:r>
      <w:proofErr w:type="spellEnd"/>
      <w:r w:rsidRPr="005841FB">
        <w:rPr>
          <w:rFonts w:ascii="Palatino Linotype" w:hAnsi="Palatino Linotype"/>
        </w:rPr>
        <w:t xml:space="preserve"> before the relationship with </w:t>
      </w:r>
      <w:r w:rsidRPr="005841FB">
        <w:rPr>
          <w:rFonts w:ascii="Palatino Linotype" w:hAnsi="Palatino Linotype"/>
          <w:i/>
        </w:rPr>
        <w:t>OER Africa</w:t>
      </w:r>
      <w:r w:rsidRPr="005841FB">
        <w:rPr>
          <w:rFonts w:ascii="Palatino Linotype" w:hAnsi="Palatino Linotype"/>
        </w:rPr>
        <w:t xml:space="preserve"> ended identified a wealth of research opportunities and some apparent interest from staff, particularly those in support positions to conduct that research. Importantly, there were also financial resources specifica</w:t>
      </w:r>
      <w:r w:rsidR="00401979" w:rsidRPr="005841FB">
        <w:rPr>
          <w:rFonts w:ascii="Palatino Linotype" w:hAnsi="Palatino Linotype"/>
        </w:rPr>
        <w:t xml:space="preserve">lly available for this type of research, which seemed especially relevant given the importance of ensuring effectiveness of teaching and learning methods in </w:t>
      </w:r>
      <w:proofErr w:type="spellStart"/>
      <w:r w:rsidR="00401979" w:rsidRPr="005841FB">
        <w:rPr>
          <w:rFonts w:ascii="Palatino Linotype" w:hAnsi="Palatino Linotype"/>
        </w:rPr>
        <w:t>Unisa’s</w:t>
      </w:r>
      <w:proofErr w:type="spellEnd"/>
      <w:r w:rsidR="00401979" w:rsidRPr="005841FB">
        <w:rPr>
          <w:rFonts w:ascii="Palatino Linotype" w:hAnsi="Palatino Linotype"/>
        </w:rPr>
        <w:t xml:space="preserve"> large distance education programmes. Through two activities, one focused on integration of e-learning into the Economics 1 course and the other on creation of a MOOC on Principles of Accounting to supplement various first-year courses, an extended process of participatory engagement, including academics, support staff, and participants from relevant university research units, detailed research agendas were defined and agreed. Sadly, the research itself was not taken forward before the ending of </w:t>
      </w:r>
      <w:r w:rsidR="00401979" w:rsidRPr="005841FB">
        <w:rPr>
          <w:rFonts w:ascii="Palatino Linotype" w:hAnsi="Palatino Linotype"/>
          <w:i/>
        </w:rPr>
        <w:t>OER Africa</w:t>
      </w:r>
      <w:r w:rsidR="00401979" w:rsidRPr="005841FB">
        <w:rPr>
          <w:rFonts w:ascii="Palatino Linotype" w:hAnsi="Palatino Linotype"/>
        </w:rPr>
        <w:t xml:space="preserve">’s relationship with </w:t>
      </w:r>
      <w:proofErr w:type="spellStart"/>
      <w:r w:rsidR="00401979" w:rsidRPr="005841FB">
        <w:rPr>
          <w:rFonts w:ascii="Palatino Linotype" w:hAnsi="Palatino Linotype"/>
        </w:rPr>
        <w:t>Unisa</w:t>
      </w:r>
      <w:proofErr w:type="spellEnd"/>
      <w:r w:rsidR="00401979" w:rsidRPr="005841FB">
        <w:rPr>
          <w:rFonts w:ascii="Palatino Linotype" w:hAnsi="Palatino Linotype"/>
        </w:rPr>
        <w:t xml:space="preserve"> and it seemed unlikely that it would continue without that relationship in place.</w:t>
      </w:r>
    </w:p>
    <w:p w14:paraId="76757B75" w14:textId="77777777" w:rsidR="00992844" w:rsidRPr="005841FB" w:rsidRDefault="00992844" w:rsidP="007A518F">
      <w:pPr>
        <w:rPr>
          <w:rFonts w:ascii="Palatino Linotype" w:hAnsi="Palatino Linotype"/>
        </w:rPr>
      </w:pPr>
    </w:p>
    <w:p w14:paraId="140E2A72" w14:textId="77777777" w:rsidR="00992844" w:rsidRPr="005841FB" w:rsidRDefault="00992844" w:rsidP="007A518F">
      <w:pPr>
        <w:rPr>
          <w:rFonts w:ascii="Palatino Linotype" w:hAnsi="Palatino Linotype"/>
        </w:rPr>
      </w:pPr>
      <w:r w:rsidRPr="005841FB">
        <w:rPr>
          <w:rFonts w:ascii="Palatino Linotype" w:hAnsi="Palatino Linotype"/>
        </w:rPr>
        <w:t>The UFS has, through its Centre for Teaching and Learning (CTL)</w:t>
      </w:r>
      <w:r w:rsidR="00D761C1" w:rsidRPr="005841FB">
        <w:rPr>
          <w:rFonts w:ascii="Palatino Linotype" w:hAnsi="Palatino Linotype"/>
        </w:rPr>
        <w:t xml:space="preserve">, embarked on a long-term PAR research programme, </w:t>
      </w:r>
      <w:r w:rsidR="00AE2C37" w:rsidRPr="005841FB">
        <w:rPr>
          <w:rFonts w:ascii="Palatino Linotype" w:hAnsi="Palatino Linotype"/>
        </w:rPr>
        <w:t xml:space="preserve">in </w:t>
      </w:r>
      <w:r w:rsidR="00D761C1" w:rsidRPr="005841FB">
        <w:rPr>
          <w:rFonts w:ascii="Palatino Linotype" w:hAnsi="Palatino Linotype"/>
        </w:rPr>
        <w:t xml:space="preserve">which CTL staff members are being supported to identify and implement research projects </w:t>
      </w:r>
      <w:r w:rsidR="00AE2C37" w:rsidRPr="005841FB">
        <w:rPr>
          <w:rFonts w:ascii="Palatino Linotype" w:hAnsi="Palatino Linotype"/>
        </w:rPr>
        <w:t xml:space="preserve">focused on </w:t>
      </w:r>
      <w:r w:rsidR="00D761C1" w:rsidRPr="005841FB">
        <w:rPr>
          <w:rFonts w:ascii="Palatino Linotype" w:hAnsi="Palatino Linotype"/>
        </w:rPr>
        <w:t xml:space="preserve">different aspects of teaching and learning. This example </w:t>
      </w:r>
      <w:r w:rsidR="00AE2C37" w:rsidRPr="005841FB">
        <w:rPr>
          <w:rFonts w:ascii="Palatino Linotype" w:hAnsi="Palatino Linotype"/>
        </w:rPr>
        <w:t xml:space="preserve">provides </w:t>
      </w:r>
      <w:r w:rsidR="00D761C1" w:rsidRPr="005841FB">
        <w:rPr>
          <w:rFonts w:ascii="Palatino Linotype" w:hAnsi="Palatino Linotype"/>
        </w:rPr>
        <w:t xml:space="preserve">the strongest evidence of an organic PAR research programme being driven by a university. In most of the other institutional examples, the focus on research into OER has been initiated </w:t>
      </w:r>
      <w:r w:rsidR="002253DF" w:rsidRPr="005841FB">
        <w:rPr>
          <w:rFonts w:ascii="Palatino Linotype" w:hAnsi="Palatino Linotype"/>
        </w:rPr>
        <w:t xml:space="preserve">and/or directed </w:t>
      </w:r>
      <w:r w:rsidR="00D761C1" w:rsidRPr="005841FB">
        <w:rPr>
          <w:rFonts w:ascii="Palatino Linotype" w:hAnsi="Palatino Linotype"/>
        </w:rPr>
        <w:t xml:space="preserve">by the OER Africa engagement, whereas at UFS the PAR research agenda is seen as part of an institutional process of both reflecting on pedagogical practices and ensuring that CTL staff (who are support staff working with academic faculties to improve teaching and learning practices) complete research projects that will advance their academic careers. Although focuses for these research projects are still being finalized, this model </w:t>
      </w:r>
      <w:r w:rsidR="00224746" w:rsidRPr="005841FB">
        <w:rPr>
          <w:rFonts w:ascii="Palatino Linotype" w:hAnsi="Palatino Linotype"/>
        </w:rPr>
        <w:t>already provides excellent lessons for other universities as an example of a structured institutional commitment to ensuring critical reflection through research on the effectiveness of pedagogical practices and institutional efforts to introduce educational innovations.</w:t>
      </w:r>
    </w:p>
    <w:p w14:paraId="7E7F2376" w14:textId="77777777" w:rsidR="002313AD" w:rsidRPr="005841FB" w:rsidRDefault="002313AD" w:rsidP="007A518F">
      <w:pPr>
        <w:rPr>
          <w:rFonts w:ascii="Palatino Linotype" w:hAnsi="Palatino Linotype"/>
        </w:rPr>
      </w:pPr>
    </w:p>
    <w:p w14:paraId="6E807414" w14:textId="77777777" w:rsidR="00401979" w:rsidRPr="005841FB" w:rsidRDefault="00401979" w:rsidP="007A518F">
      <w:pPr>
        <w:rPr>
          <w:rFonts w:ascii="Palatino Linotype" w:hAnsi="Palatino Linotype"/>
        </w:rPr>
      </w:pPr>
      <w:r w:rsidRPr="005841FB">
        <w:rPr>
          <w:rFonts w:ascii="Palatino Linotype" w:hAnsi="Palatino Linotype"/>
        </w:rPr>
        <w:t>From this, one can draw various conclusions:</w:t>
      </w:r>
    </w:p>
    <w:p w14:paraId="50F21A2D" w14:textId="77777777" w:rsidR="007A518F" w:rsidRPr="005841FB" w:rsidRDefault="007A518F" w:rsidP="007A518F">
      <w:pPr>
        <w:pStyle w:val="ListParagraph"/>
        <w:numPr>
          <w:ilvl w:val="0"/>
          <w:numId w:val="13"/>
        </w:numPr>
        <w:rPr>
          <w:rFonts w:ascii="Palatino Linotype" w:hAnsi="Palatino Linotype"/>
        </w:rPr>
      </w:pPr>
      <w:r w:rsidRPr="005841FB">
        <w:rPr>
          <w:rFonts w:ascii="Palatino Linotype" w:hAnsi="Palatino Linotype"/>
        </w:rPr>
        <w:t xml:space="preserve">In </w:t>
      </w:r>
      <w:r w:rsidR="00401979" w:rsidRPr="005841FB">
        <w:rPr>
          <w:rFonts w:ascii="Palatino Linotype" w:hAnsi="Palatino Linotype"/>
        </w:rPr>
        <w:t xml:space="preserve">a few </w:t>
      </w:r>
      <w:r w:rsidRPr="005841FB">
        <w:rPr>
          <w:rFonts w:ascii="Palatino Linotype" w:hAnsi="Palatino Linotype"/>
        </w:rPr>
        <w:t>instances, research is emerging organically</w:t>
      </w:r>
      <w:r w:rsidR="00401979" w:rsidRPr="005841FB">
        <w:rPr>
          <w:rFonts w:ascii="Palatino Linotype" w:hAnsi="Palatino Linotype"/>
        </w:rPr>
        <w:t xml:space="preserve"> and as part of a wider institutional agenda</w:t>
      </w:r>
      <w:r w:rsidRPr="005841FB">
        <w:rPr>
          <w:rFonts w:ascii="Palatino Linotype" w:hAnsi="Palatino Linotype"/>
        </w:rPr>
        <w:t xml:space="preserve">, but in most, </w:t>
      </w:r>
      <w:r w:rsidR="00401979" w:rsidRPr="005841FB">
        <w:rPr>
          <w:rFonts w:ascii="Palatino Linotype" w:hAnsi="Palatino Linotype"/>
        </w:rPr>
        <w:t xml:space="preserve">external </w:t>
      </w:r>
      <w:r w:rsidRPr="005841FB">
        <w:rPr>
          <w:rFonts w:ascii="Palatino Linotype" w:hAnsi="Palatino Linotype"/>
        </w:rPr>
        <w:t>facilitation has been essential to get a focus on OER research</w:t>
      </w:r>
      <w:r w:rsidR="00401979" w:rsidRPr="005841FB">
        <w:rPr>
          <w:rFonts w:ascii="Palatino Linotype" w:hAnsi="Palatino Linotype"/>
        </w:rPr>
        <w:t xml:space="preserve"> and even, more broadly</w:t>
      </w:r>
      <w:r w:rsidR="002253DF" w:rsidRPr="005841FB">
        <w:rPr>
          <w:rFonts w:ascii="Palatino Linotype" w:hAnsi="Palatino Linotype"/>
        </w:rPr>
        <w:t>,</w:t>
      </w:r>
      <w:r w:rsidR="00401979" w:rsidRPr="005841FB">
        <w:rPr>
          <w:rFonts w:ascii="Palatino Linotype" w:hAnsi="Palatino Linotype"/>
        </w:rPr>
        <w:t xml:space="preserve"> research on pedagogical practices and transformation.</w:t>
      </w:r>
    </w:p>
    <w:p w14:paraId="72E31460" w14:textId="77777777" w:rsidR="007A518F" w:rsidRPr="005841FB" w:rsidRDefault="00401979" w:rsidP="007A518F">
      <w:pPr>
        <w:pStyle w:val="ListParagraph"/>
        <w:numPr>
          <w:ilvl w:val="0"/>
          <w:numId w:val="13"/>
        </w:numPr>
        <w:rPr>
          <w:rFonts w:ascii="Palatino Linotype" w:hAnsi="Palatino Linotype"/>
        </w:rPr>
      </w:pPr>
      <w:r w:rsidRPr="005841FB">
        <w:rPr>
          <w:rFonts w:ascii="Palatino Linotype" w:hAnsi="Palatino Linotype"/>
        </w:rPr>
        <w:t xml:space="preserve">Where research is being done, interest is greatest where there is a connection between the type of research done and the academic interests of researchers. In particular, research </w:t>
      </w:r>
      <w:r w:rsidR="007A518F" w:rsidRPr="005841FB">
        <w:rPr>
          <w:rFonts w:ascii="Palatino Linotype" w:hAnsi="Palatino Linotype"/>
        </w:rPr>
        <w:t xml:space="preserve">seems to be of greatest interest to academics when </w:t>
      </w:r>
      <w:r w:rsidR="00A224D3" w:rsidRPr="005841FB">
        <w:rPr>
          <w:rFonts w:ascii="Palatino Linotype" w:hAnsi="Palatino Linotype"/>
        </w:rPr>
        <w:t xml:space="preserve">it is </w:t>
      </w:r>
      <w:r w:rsidR="007A518F" w:rsidRPr="005841FB">
        <w:rPr>
          <w:rFonts w:ascii="Palatino Linotype" w:hAnsi="Palatino Linotype"/>
        </w:rPr>
        <w:t>connected to distance education (possibly because it aligns with broader research interests on ODL and resource-based learning</w:t>
      </w:r>
      <w:r w:rsidR="002253DF" w:rsidRPr="005841FB">
        <w:rPr>
          <w:rFonts w:ascii="Palatino Linotype" w:hAnsi="Palatino Linotype"/>
        </w:rPr>
        <w:t xml:space="preserve"> in ODL institutions</w:t>
      </w:r>
      <w:r w:rsidR="007A518F" w:rsidRPr="005841FB">
        <w:rPr>
          <w:rFonts w:ascii="Palatino Linotype" w:hAnsi="Palatino Linotype"/>
        </w:rPr>
        <w:t>)</w:t>
      </w:r>
      <w:r w:rsidR="00A224D3" w:rsidRPr="005841FB">
        <w:rPr>
          <w:rFonts w:ascii="Palatino Linotype" w:hAnsi="Palatino Linotype"/>
        </w:rPr>
        <w:t xml:space="preserve">. In addition, though, staff working in support units helping academics to improve teaching and learning practices and/or introduce pedagogical </w:t>
      </w:r>
      <w:r w:rsidR="00A224D3" w:rsidRPr="005841FB">
        <w:rPr>
          <w:rFonts w:ascii="Palatino Linotype" w:hAnsi="Palatino Linotype"/>
        </w:rPr>
        <w:lastRenderedPageBreak/>
        <w:t>innovations of different kinds also show great interest in completing research projects</w:t>
      </w:r>
      <w:r w:rsidR="002253DF" w:rsidRPr="005841FB">
        <w:rPr>
          <w:rFonts w:ascii="Palatino Linotype" w:hAnsi="Palatino Linotype"/>
        </w:rPr>
        <w:t xml:space="preserve"> to further their academic careers</w:t>
      </w:r>
      <w:r w:rsidR="00A224D3" w:rsidRPr="005841FB">
        <w:rPr>
          <w:rFonts w:ascii="Palatino Linotype" w:hAnsi="Palatino Linotype"/>
        </w:rPr>
        <w:t>.</w:t>
      </w:r>
    </w:p>
    <w:p w14:paraId="0C919386" w14:textId="77777777" w:rsidR="00A224D3" w:rsidRPr="005841FB" w:rsidRDefault="00A224D3" w:rsidP="007A518F">
      <w:pPr>
        <w:pStyle w:val="ListParagraph"/>
        <w:numPr>
          <w:ilvl w:val="0"/>
          <w:numId w:val="13"/>
        </w:numPr>
        <w:rPr>
          <w:rFonts w:ascii="Palatino Linotype" w:hAnsi="Palatino Linotype"/>
        </w:rPr>
      </w:pPr>
      <w:r w:rsidRPr="005841FB">
        <w:rPr>
          <w:rFonts w:ascii="Palatino Linotype" w:hAnsi="Palatino Linotype"/>
        </w:rPr>
        <w:t xml:space="preserve">There is little evidence that research agendas are driven in a structured or systematic way by accompanying institutional drives to introduce pedagogical changes and then measure </w:t>
      </w:r>
      <w:r w:rsidR="002253DF" w:rsidRPr="005841FB">
        <w:rPr>
          <w:rFonts w:ascii="Palatino Linotype" w:hAnsi="Palatino Linotype"/>
        </w:rPr>
        <w:t xml:space="preserve">their </w:t>
      </w:r>
      <w:r w:rsidRPr="005841FB">
        <w:rPr>
          <w:rFonts w:ascii="Palatino Linotype" w:hAnsi="Palatino Linotype"/>
        </w:rPr>
        <w:t xml:space="preserve">relative effectiveness. In a few cases, there even seems to be active resistance to researching the introduction of pedagogical innovations, despite the apparently clear imperative to measure whether or not such innovations yield a meaningful educational improvement that </w:t>
      </w:r>
      <w:r w:rsidR="002253DF" w:rsidRPr="005841FB">
        <w:rPr>
          <w:rFonts w:ascii="Palatino Linotype" w:hAnsi="Palatino Linotype"/>
        </w:rPr>
        <w:t>would justify</w:t>
      </w:r>
      <w:r w:rsidRPr="005841FB">
        <w:rPr>
          <w:rFonts w:ascii="Palatino Linotype" w:hAnsi="Palatino Linotype"/>
        </w:rPr>
        <w:t xml:space="preserve"> continued support for that innovation. Where such research is done, it is typically in the context of academic research driven by an individual, which has two consequences:</w:t>
      </w:r>
    </w:p>
    <w:p w14:paraId="5AB249DB" w14:textId="77777777" w:rsidR="00A224D3" w:rsidRPr="005841FB" w:rsidRDefault="00A224D3" w:rsidP="00A224D3">
      <w:pPr>
        <w:pStyle w:val="ListParagraph"/>
        <w:numPr>
          <w:ilvl w:val="1"/>
          <w:numId w:val="13"/>
        </w:numPr>
        <w:rPr>
          <w:rFonts w:ascii="Palatino Linotype" w:hAnsi="Palatino Linotype"/>
        </w:rPr>
      </w:pPr>
      <w:r w:rsidRPr="005841FB">
        <w:rPr>
          <w:rFonts w:ascii="Palatino Linotype" w:hAnsi="Palatino Linotype"/>
        </w:rPr>
        <w:t>The scope of the research is defined by the resource constraints and time pressures of that academic (most importantly, the need to complete the research within defined timeframes) place significant limits on research methodologies, with the result that some of the most important research questions about the impact of pedagogical transformation efforts (particularly those of a longitudinal nature) are seldom explored through academic research</w:t>
      </w:r>
    </w:p>
    <w:p w14:paraId="04C82DDB" w14:textId="77777777" w:rsidR="00A224D3" w:rsidRPr="005841FB" w:rsidRDefault="00A224D3" w:rsidP="00A224D3">
      <w:pPr>
        <w:pStyle w:val="ListParagraph"/>
        <w:numPr>
          <w:ilvl w:val="1"/>
          <w:numId w:val="13"/>
        </w:numPr>
        <w:rPr>
          <w:rFonts w:ascii="Palatino Linotype" w:hAnsi="Palatino Linotype"/>
        </w:rPr>
      </w:pPr>
      <w:r w:rsidRPr="005841FB">
        <w:rPr>
          <w:rFonts w:ascii="Palatino Linotype" w:hAnsi="Palatino Linotype"/>
        </w:rPr>
        <w:t>The outcomes of the research are not intrinsically connected or fed into planning or policy-making processes in a way that enables more effective financial decisions on the relative merit of investing in different education innovations to effect meaningful pedagogical transformation. The result is that decisions the relative merits of different kinds of pedagogical transformation are driven by other factors, for example, the drive and enthusiasm of their champions or the inherent conservatism of many decision-makers who</w:t>
      </w:r>
      <w:r w:rsidR="00D706BE" w:rsidRPr="005841FB">
        <w:rPr>
          <w:rFonts w:ascii="Palatino Linotype" w:hAnsi="Palatino Linotype"/>
        </w:rPr>
        <w:t>se perspective is strongly influenced by the history of educational practices at universities.</w:t>
      </w:r>
    </w:p>
    <w:p w14:paraId="0E93CF20" w14:textId="77777777" w:rsidR="00D706BE" w:rsidRPr="005841FB" w:rsidRDefault="00D706BE" w:rsidP="00D706BE">
      <w:pPr>
        <w:pStyle w:val="Heading3"/>
        <w:rPr>
          <w:rFonts w:ascii="Palatino Linotype" w:hAnsi="Palatino Linotype"/>
        </w:rPr>
      </w:pPr>
      <w:r w:rsidRPr="005841FB">
        <w:rPr>
          <w:rFonts w:ascii="Palatino Linotype" w:hAnsi="Palatino Linotype"/>
        </w:rPr>
        <w:t>What are the emerging project and research focuses?</w:t>
      </w:r>
    </w:p>
    <w:p w14:paraId="577DCAAD" w14:textId="28D23360" w:rsidR="00D706BE" w:rsidRPr="005841FB" w:rsidRDefault="00D706BE" w:rsidP="007A518F">
      <w:pPr>
        <w:rPr>
          <w:rFonts w:ascii="Palatino Linotype" w:hAnsi="Palatino Linotype"/>
        </w:rPr>
      </w:pPr>
      <w:r w:rsidRPr="005841FB">
        <w:rPr>
          <w:rFonts w:ascii="Palatino Linotype" w:hAnsi="Palatino Linotype"/>
        </w:rPr>
        <w:t xml:space="preserve">Notwithstanding the above concerns, there are some clear research focuses emerging from work done to date and some accompanying lessons about attitudes towards OER. </w:t>
      </w:r>
      <w:r w:rsidR="002253DF" w:rsidRPr="005841FB">
        <w:rPr>
          <w:rFonts w:ascii="Palatino Linotype" w:hAnsi="Palatino Linotype"/>
        </w:rPr>
        <w:t>R</w:t>
      </w:r>
      <w:r w:rsidRPr="005841FB">
        <w:rPr>
          <w:rFonts w:ascii="Palatino Linotype" w:hAnsi="Palatino Linotype"/>
        </w:rPr>
        <w:t xml:space="preserve">esistance to engaging with OER </w:t>
      </w:r>
      <w:r w:rsidR="002253DF" w:rsidRPr="005841FB">
        <w:rPr>
          <w:rFonts w:ascii="Palatino Linotype" w:hAnsi="Palatino Linotype"/>
        </w:rPr>
        <w:t>issues</w:t>
      </w:r>
      <w:r w:rsidR="002476EB" w:rsidRPr="005841FB">
        <w:rPr>
          <w:rFonts w:ascii="Palatino Linotype" w:hAnsi="Palatino Linotype"/>
        </w:rPr>
        <w:t xml:space="preserve"> </w:t>
      </w:r>
      <w:r w:rsidRPr="005841FB">
        <w:rPr>
          <w:rFonts w:ascii="Palatino Linotype" w:hAnsi="Palatino Linotype"/>
        </w:rPr>
        <w:t xml:space="preserve">appears to be declining over time. More groups of academics and university academic support staff are expressing interest in both sharing under open licences and integrating OERs into courses, while resistance to engaging in such discussions in either institutional or faculty-level fora has declined significantly compared to when </w:t>
      </w:r>
      <w:r w:rsidRPr="005841FB">
        <w:rPr>
          <w:rFonts w:ascii="Palatino Linotype" w:hAnsi="Palatino Linotype"/>
          <w:i/>
        </w:rPr>
        <w:t>OER Africa</w:t>
      </w:r>
      <w:r w:rsidRPr="005841FB">
        <w:rPr>
          <w:rFonts w:ascii="Palatino Linotype" w:hAnsi="Palatino Linotype"/>
        </w:rPr>
        <w:t xml:space="preserve"> first commenced its work. </w:t>
      </w:r>
      <w:r w:rsidR="00C0174D" w:rsidRPr="005841FB">
        <w:rPr>
          <w:rFonts w:ascii="Palatino Linotype" w:hAnsi="Palatino Linotype"/>
        </w:rPr>
        <w:t xml:space="preserve">For example, during the period of the PAR grant, OUT have mounted three highly inclusive OER institutional fora. </w:t>
      </w:r>
      <w:r w:rsidRPr="005841FB">
        <w:rPr>
          <w:rFonts w:ascii="Palatino Linotype" w:hAnsi="Palatino Linotype"/>
        </w:rPr>
        <w:t xml:space="preserve">One can only speculate on possible reasons for this, but it seems likely that the efforts of organizations like Creative Commons, UNESCO, the Commonwealth of Learning, and OER Africa, </w:t>
      </w:r>
      <w:r w:rsidR="006C7A5E" w:rsidRPr="005841FB">
        <w:rPr>
          <w:rFonts w:ascii="Palatino Linotype" w:hAnsi="Palatino Linotype"/>
        </w:rPr>
        <w:t xml:space="preserve">as well as globally respects reports such as the New Media Consortium’s Annual Horizons Reports, </w:t>
      </w:r>
      <w:r w:rsidRPr="005841FB">
        <w:rPr>
          <w:rFonts w:ascii="Palatino Linotype" w:hAnsi="Palatino Linotype"/>
        </w:rPr>
        <w:t>ha</w:t>
      </w:r>
      <w:r w:rsidR="002253DF" w:rsidRPr="005841FB">
        <w:rPr>
          <w:rFonts w:ascii="Palatino Linotype" w:hAnsi="Palatino Linotype"/>
        </w:rPr>
        <w:t>ve</w:t>
      </w:r>
      <w:r w:rsidRPr="005841FB">
        <w:rPr>
          <w:rFonts w:ascii="Palatino Linotype" w:hAnsi="Palatino Linotype"/>
        </w:rPr>
        <w:t xml:space="preserve"> raised awareness about the concept of OER significantly. Likewise, the ongoing penetration of mobile technologies and Internet use by staff and students alike mean that the concepts of sharing </w:t>
      </w:r>
      <w:r w:rsidR="002253DF" w:rsidRPr="005841FB">
        <w:rPr>
          <w:rFonts w:ascii="Palatino Linotype" w:hAnsi="Palatino Linotype"/>
        </w:rPr>
        <w:t xml:space="preserve">and sourcing </w:t>
      </w:r>
      <w:r w:rsidRPr="005841FB">
        <w:rPr>
          <w:rFonts w:ascii="Palatino Linotype" w:hAnsi="Palatino Linotype"/>
        </w:rPr>
        <w:t>content digitally are increasingly part of the lived experience of people, much more so than even a few years ago, so that the concepts seem less alien. One consequence of this has been that all universities with which OER Africa has been working has seen the importance of adjusting (or developing) intellectual property (IP) policies that are responsive to this changing environment and manage its implications for copyright management.</w:t>
      </w:r>
    </w:p>
    <w:p w14:paraId="01A0416E" w14:textId="77777777" w:rsidR="00D706BE" w:rsidRPr="005841FB" w:rsidRDefault="00D706BE" w:rsidP="007A518F">
      <w:pPr>
        <w:rPr>
          <w:rFonts w:ascii="Palatino Linotype" w:hAnsi="Palatino Linotype"/>
        </w:rPr>
      </w:pPr>
    </w:p>
    <w:p w14:paraId="7BFAC89D" w14:textId="77777777" w:rsidR="007A518F" w:rsidRPr="005841FB" w:rsidRDefault="00D706BE" w:rsidP="007A518F">
      <w:pPr>
        <w:rPr>
          <w:rFonts w:ascii="Palatino Linotype" w:hAnsi="Palatino Linotype"/>
        </w:rPr>
      </w:pPr>
      <w:r w:rsidRPr="005841FB">
        <w:rPr>
          <w:rFonts w:ascii="Palatino Linotype" w:hAnsi="Palatino Linotype"/>
        </w:rPr>
        <w:t>Nevertheless, the n</w:t>
      </w:r>
      <w:r w:rsidR="007A518F" w:rsidRPr="005841FB">
        <w:rPr>
          <w:rFonts w:ascii="Palatino Linotype" w:hAnsi="Palatino Linotype"/>
        </w:rPr>
        <w:t xml:space="preserve">eed for OER advocacy remains very high </w:t>
      </w:r>
      <w:r w:rsidRPr="005841FB">
        <w:rPr>
          <w:rFonts w:ascii="Palatino Linotype" w:hAnsi="Palatino Linotype"/>
        </w:rPr>
        <w:t xml:space="preserve">in all of the universities with which </w:t>
      </w:r>
      <w:r w:rsidRPr="005841FB">
        <w:rPr>
          <w:rFonts w:ascii="Palatino Linotype" w:hAnsi="Palatino Linotype"/>
          <w:i/>
        </w:rPr>
        <w:t>OER Africa</w:t>
      </w:r>
      <w:r w:rsidRPr="005841FB">
        <w:rPr>
          <w:rFonts w:ascii="Palatino Linotype" w:hAnsi="Palatino Linotype"/>
        </w:rPr>
        <w:t xml:space="preserve"> is working. O</w:t>
      </w:r>
      <w:r w:rsidR="007A518F" w:rsidRPr="005841FB">
        <w:rPr>
          <w:rFonts w:ascii="Palatino Linotype" w:hAnsi="Palatino Linotype"/>
        </w:rPr>
        <w:t xml:space="preserve">nce one goes past a small group of knowledgeable people, </w:t>
      </w:r>
      <w:r w:rsidRPr="005841FB">
        <w:rPr>
          <w:rFonts w:ascii="Palatino Linotype" w:hAnsi="Palatino Linotype"/>
        </w:rPr>
        <w:t xml:space="preserve">understanding of OER and its potential implications for teaching and learning </w:t>
      </w:r>
      <w:r w:rsidR="007A518F" w:rsidRPr="005841FB">
        <w:rPr>
          <w:rFonts w:ascii="Palatino Linotype" w:hAnsi="Palatino Linotype"/>
        </w:rPr>
        <w:t>drops rapidly</w:t>
      </w:r>
      <w:r w:rsidRPr="005841FB">
        <w:rPr>
          <w:rFonts w:ascii="Palatino Linotype" w:hAnsi="Palatino Linotype"/>
        </w:rPr>
        <w:t xml:space="preserve">. Evidence of this can be seen in the number of workshops held that incorporate a specific focus still on taking university staff through these </w:t>
      </w:r>
      <w:r w:rsidR="002253DF" w:rsidRPr="005841FB">
        <w:rPr>
          <w:rFonts w:ascii="Palatino Linotype" w:hAnsi="Palatino Linotype"/>
        </w:rPr>
        <w:t xml:space="preserve">basic </w:t>
      </w:r>
      <w:r w:rsidRPr="005841FB">
        <w:rPr>
          <w:rFonts w:ascii="Palatino Linotype" w:hAnsi="Palatino Linotype"/>
        </w:rPr>
        <w:t>issues.</w:t>
      </w:r>
      <w:r w:rsidR="00F613B7" w:rsidRPr="005841FB">
        <w:rPr>
          <w:rFonts w:ascii="Palatino Linotype" w:hAnsi="Palatino Linotype"/>
        </w:rPr>
        <w:t xml:space="preserve"> As a consequence, many of the project activities in which universities are engaged still focus on course-level activities that focus on designing courses using existing OER and/or creating course materials that will be released under open licences.</w:t>
      </w:r>
    </w:p>
    <w:p w14:paraId="5EEF1CF4" w14:textId="77777777" w:rsidR="00F613B7" w:rsidRPr="005841FB" w:rsidRDefault="00F613B7" w:rsidP="007A518F">
      <w:pPr>
        <w:rPr>
          <w:rFonts w:ascii="Palatino Linotype" w:hAnsi="Palatino Linotype"/>
        </w:rPr>
      </w:pPr>
    </w:p>
    <w:p w14:paraId="1636B401" w14:textId="77777777" w:rsidR="007A518F" w:rsidRPr="005841FB" w:rsidRDefault="007A518F" w:rsidP="007A518F">
      <w:pPr>
        <w:rPr>
          <w:rFonts w:ascii="Palatino Linotype" w:hAnsi="Palatino Linotype"/>
        </w:rPr>
      </w:pPr>
      <w:r w:rsidRPr="005841FB">
        <w:rPr>
          <w:rFonts w:ascii="Palatino Linotype" w:hAnsi="Palatino Linotype"/>
        </w:rPr>
        <w:t xml:space="preserve">Emerging </w:t>
      </w:r>
      <w:r w:rsidR="002253DF" w:rsidRPr="005841FB">
        <w:rPr>
          <w:rFonts w:ascii="Palatino Linotype" w:hAnsi="Palatino Linotype"/>
        </w:rPr>
        <w:t>r</w:t>
      </w:r>
      <w:r w:rsidRPr="005841FB">
        <w:rPr>
          <w:rFonts w:ascii="Palatino Linotype" w:hAnsi="Palatino Linotype"/>
        </w:rPr>
        <w:t xml:space="preserve">esearch </w:t>
      </w:r>
      <w:r w:rsidR="002253DF" w:rsidRPr="005841FB">
        <w:rPr>
          <w:rFonts w:ascii="Palatino Linotype" w:hAnsi="Palatino Linotype"/>
        </w:rPr>
        <w:t>f</w:t>
      </w:r>
      <w:r w:rsidRPr="005841FB">
        <w:rPr>
          <w:rFonts w:ascii="Palatino Linotype" w:hAnsi="Palatino Linotype"/>
        </w:rPr>
        <w:t xml:space="preserve">ocuses </w:t>
      </w:r>
      <w:r w:rsidR="00F613B7" w:rsidRPr="005841FB">
        <w:rPr>
          <w:rFonts w:ascii="Palatino Linotype" w:hAnsi="Palatino Linotype"/>
        </w:rPr>
        <w:t>across the institutions reflect the following kinds of activities (see detailed institutional reports for details):</w:t>
      </w:r>
    </w:p>
    <w:p w14:paraId="4BA44B67" w14:textId="77777777" w:rsidR="007A518F" w:rsidRPr="005841FB" w:rsidRDefault="007A518F" w:rsidP="00F613B7">
      <w:pPr>
        <w:pStyle w:val="ListParagraph"/>
        <w:numPr>
          <w:ilvl w:val="0"/>
          <w:numId w:val="14"/>
        </w:numPr>
        <w:rPr>
          <w:rFonts w:ascii="Palatino Linotype" w:hAnsi="Palatino Linotype"/>
        </w:rPr>
      </w:pPr>
      <w:r w:rsidRPr="005841FB">
        <w:rPr>
          <w:rFonts w:ascii="Palatino Linotype" w:hAnsi="Palatino Linotype"/>
        </w:rPr>
        <w:t>Baseline Research (</w:t>
      </w:r>
      <w:r w:rsidR="00F613B7" w:rsidRPr="005841FB">
        <w:rPr>
          <w:rFonts w:ascii="Palatino Linotype" w:hAnsi="Palatino Linotype"/>
        </w:rPr>
        <w:t xml:space="preserve">for example, </w:t>
      </w:r>
      <w:r w:rsidRPr="005841FB">
        <w:rPr>
          <w:rFonts w:ascii="Palatino Linotype" w:hAnsi="Palatino Linotype"/>
        </w:rPr>
        <w:t xml:space="preserve">OUT, ANU, </w:t>
      </w:r>
      <w:proofErr w:type="spellStart"/>
      <w:r w:rsidRPr="005841FB">
        <w:rPr>
          <w:rFonts w:ascii="Palatino Linotype" w:hAnsi="Palatino Linotype"/>
        </w:rPr>
        <w:t>Unisa</w:t>
      </w:r>
      <w:proofErr w:type="spellEnd"/>
      <w:r w:rsidRPr="005841FB">
        <w:rPr>
          <w:rFonts w:ascii="Palatino Linotype" w:hAnsi="Palatino Linotype"/>
        </w:rPr>
        <w:t>)</w:t>
      </w:r>
      <w:r w:rsidR="00F613B7" w:rsidRPr="005841FB">
        <w:rPr>
          <w:rFonts w:ascii="Palatino Linotype" w:hAnsi="Palatino Linotype"/>
        </w:rPr>
        <w:t>, which seeks to:</w:t>
      </w:r>
    </w:p>
    <w:p w14:paraId="78ED7B5E" w14:textId="77777777" w:rsidR="007A518F" w:rsidRPr="005841FB" w:rsidRDefault="007A518F" w:rsidP="00F613B7">
      <w:pPr>
        <w:pStyle w:val="ListParagraph"/>
        <w:numPr>
          <w:ilvl w:val="1"/>
          <w:numId w:val="14"/>
        </w:numPr>
        <w:rPr>
          <w:rFonts w:ascii="Palatino Linotype" w:hAnsi="Palatino Linotype"/>
        </w:rPr>
      </w:pPr>
      <w:r w:rsidRPr="005841FB">
        <w:rPr>
          <w:rFonts w:ascii="Palatino Linotype" w:hAnsi="Palatino Linotype"/>
        </w:rPr>
        <w:t>Determine knowledge about OER and open licensing</w:t>
      </w:r>
      <w:r w:rsidR="00F613B7" w:rsidRPr="005841FB">
        <w:rPr>
          <w:rFonts w:ascii="Palatino Linotype" w:hAnsi="Palatino Linotype"/>
        </w:rPr>
        <w:t xml:space="preserve"> within universities;</w:t>
      </w:r>
    </w:p>
    <w:p w14:paraId="49A2B3E4" w14:textId="77777777" w:rsidR="007A518F" w:rsidRPr="005841FB" w:rsidRDefault="007A518F" w:rsidP="00F613B7">
      <w:pPr>
        <w:pStyle w:val="ListParagraph"/>
        <w:numPr>
          <w:ilvl w:val="1"/>
          <w:numId w:val="14"/>
        </w:numPr>
        <w:rPr>
          <w:rFonts w:ascii="Palatino Linotype" w:hAnsi="Palatino Linotype"/>
        </w:rPr>
      </w:pPr>
      <w:r w:rsidRPr="005841FB">
        <w:rPr>
          <w:rFonts w:ascii="Palatino Linotype" w:hAnsi="Palatino Linotype"/>
        </w:rPr>
        <w:t>Assess current use of OER</w:t>
      </w:r>
      <w:r w:rsidR="00F613B7" w:rsidRPr="005841FB">
        <w:rPr>
          <w:rFonts w:ascii="Palatino Linotype" w:hAnsi="Palatino Linotype"/>
        </w:rPr>
        <w:t>;</w:t>
      </w:r>
    </w:p>
    <w:p w14:paraId="01DC1DA7" w14:textId="77777777" w:rsidR="007A518F" w:rsidRPr="005841FB" w:rsidRDefault="007A518F" w:rsidP="00F613B7">
      <w:pPr>
        <w:pStyle w:val="ListParagraph"/>
        <w:numPr>
          <w:ilvl w:val="1"/>
          <w:numId w:val="14"/>
        </w:numPr>
        <w:rPr>
          <w:rFonts w:ascii="Palatino Linotype" w:hAnsi="Palatino Linotype"/>
        </w:rPr>
      </w:pPr>
      <w:r w:rsidRPr="005841FB">
        <w:rPr>
          <w:rFonts w:ascii="Palatino Linotype" w:hAnsi="Palatino Linotype"/>
        </w:rPr>
        <w:t>Explore attitudes towards OER</w:t>
      </w:r>
      <w:r w:rsidR="00F613B7" w:rsidRPr="005841FB">
        <w:rPr>
          <w:rFonts w:ascii="Palatino Linotype" w:hAnsi="Palatino Linotype"/>
        </w:rPr>
        <w:t>; and/or</w:t>
      </w:r>
    </w:p>
    <w:p w14:paraId="746A51C0" w14:textId="77777777" w:rsidR="007A518F" w:rsidRPr="005841FB" w:rsidRDefault="007A518F" w:rsidP="00F613B7">
      <w:pPr>
        <w:pStyle w:val="ListParagraph"/>
        <w:numPr>
          <w:ilvl w:val="1"/>
          <w:numId w:val="14"/>
        </w:numPr>
        <w:rPr>
          <w:rFonts w:ascii="Palatino Linotype" w:hAnsi="Palatino Linotype"/>
        </w:rPr>
      </w:pPr>
      <w:r w:rsidRPr="005841FB">
        <w:rPr>
          <w:rFonts w:ascii="Palatino Linotype" w:hAnsi="Palatino Linotype"/>
        </w:rPr>
        <w:t>Examine barriers to OER implementation</w:t>
      </w:r>
      <w:r w:rsidR="00F613B7" w:rsidRPr="005841FB">
        <w:rPr>
          <w:rFonts w:ascii="Palatino Linotype" w:hAnsi="Palatino Linotype"/>
        </w:rPr>
        <w:t>.</w:t>
      </w:r>
    </w:p>
    <w:p w14:paraId="2DCF3AE6" w14:textId="77777777" w:rsidR="007A518F" w:rsidRPr="005841FB" w:rsidRDefault="007A518F" w:rsidP="00F613B7">
      <w:pPr>
        <w:pStyle w:val="ListParagraph"/>
        <w:numPr>
          <w:ilvl w:val="0"/>
          <w:numId w:val="14"/>
        </w:numPr>
        <w:rPr>
          <w:rFonts w:ascii="Palatino Linotype" w:hAnsi="Palatino Linotype"/>
        </w:rPr>
      </w:pPr>
      <w:r w:rsidRPr="005841FB">
        <w:rPr>
          <w:rFonts w:ascii="Palatino Linotype" w:hAnsi="Palatino Linotype"/>
        </w:rPr>
        <w:t>Research into take-up of OER (OUT, ANU)</w:t>
      </w:r>
      <w:r w:rsidR="00F613B7" w:rsidRPr="005841FB">
        <w:rPr>
          <w:rFonts w:ascii="Palatino Linotype" w:hAnsi="Palatino Linotype"/>
        </w:rPr>
        <w:t>. I</w:t>
      </w:r>
      <w:r w:rsidRPr="005841FB">
        <w:rPr>
          <w:rFonts w:ascii="Palatino Linotype" w:hAnsi="Palatino Linotype"/>
        </w:rPr>
        <w:t xml:space="preserve">n </w:t>
      </w:r>
      <w:r w:rsidR="00F613B7" w:rsidRPr="005841FB">
        <w:rPr>
          <w:rFonts w:ascii="Palatino Linotype" w:hAnsi="Palatino Linotype"/>
        </w:rPr>
        <w:t xml:space="preserve">the </w:t>
      </w:r>
      <w:r w:rsidRPr="005841FB">
        <w:rPr>
          <w:rFonts w:ascii="Palatino Linotype" w:hAnsi="Palatino Linotype"/>
        </w:rPr>
        <w:t xml:space="preserve">case of ANU, </w:t>
      </w:r>
      <w:r w:rsidR="00F613B7" w:rsidRPr="005841FB">
        <w:rPr>
          <w:rFonts w:ascii="Palatino Linotype" w:hAnsi="Palatino Linotype"/>
        </w:rPr>
        <w:t xml:space="preserve">there are </w:t>
      </w:r>
      <w:r w:rsidRPr="005841FB">
        <w:rPr>
          <w:rFonts w:ascii="Palatino Linotype" w:hAnsi="Palatino Linotype"/>
        </w:rPr>
        <w:t xml:space="preserve">plans to examine </w:t>
      </w:r>
      <w:r w:rsidR="00F613B7" w:rsidRPr="005841FB">
        <w:rPr>
          <w:rFonts w:ascii="Palatino Linotype" w:hAnsi="Palatino Linotype"/>
        </w:rPr>
        <w:t>take-up in multiple institutions.</w:t>
      </w:r>
    </w:p>
    <w:p w14:paraId="0213559C" w14:textId="77777777" w:rsidR="00F613B7" w:rsidRPr="005841FB" w:rsidRDefault="00F613B7" w:rsidP="00F613B7">
      <w:pPr>
        <w:pStyle w:val="ListParagraph"/>
        <w:numPr>
          <w:ilvl w:val="0"/>
          <w:numId w:val="14"/>
        </w:numPr>
        <w:rPr>
          <w:rFonts w:ascii="Palatino Linotype" w:hAnsi="Palatino Linotype"/>
        </w:rPr>
      </w:pPr>
      <w:r w:rsidRPr="005841FB">
        <w:rPr>
          <w:rFonts w:ascii="Palatino Linotype" w:hAnsi="Palatino Linotype"/>
        </w:rPr>
        <w:t xml:space="preserve">Exploring experiences of students and staff in using OER and accompanying challenges (OUT, </w:t>
      </w:r>
      <w:proofErr w:type="spellStart"/>
      <w:r w:rsidRPr="005841FB">
        <w:rPr>
          <w:rFonts w:ascii="Palatino Linotype" w:hAnsi="Palatino Linotype"/>
        </w:rPr>
        <w:t>Unisa</w:t>
      </w:r>
      <w:proofErr w:type="spellEnd"/>
      <w:r w:rsidRPr="005841FB">
        <w:rPr>
          <w:rFonts w:ascii="Palatino Linotype" w:hAnsi="Palatino Linotype"/>
        </w:rPr>
        <w:t xml:space="preserve">, </w:t>
      </w:r>
      <w:proofErr w:type="gramStart"/>
      <w:r w:rsidRPr="005841FB">
        <w:rPr>
          <w:rFonts w:ascii="Palatino Linotype" w:hAnsi="Palatino Linotype"/>
        </w:rPr>
        <w:t>UFS</w:t>
      </w:r>
      <w:proofErr w:type="gramEnd"/>
      <w:r w:rsidRPr="005841FB">
        <w:rPr>
          <w:rFonts w:ascii="Palatino Linotype" w:hAnsi="Palatino Linotype"/>
        </w:rPr>
        <w:t>).</w:t>
      </w:r>
    </w:p>
    <w:p w14:paraId="3AC80329" w14:textId="71B29FC8" w:rsidR="004D12FB" w:rsidRPr="005841FB" w:rsidRDefault="004D12FB" w:rsidP="00F613B7">
      <w:pPr>
        <w:pStyle w:val="ListParagraph"/>
        <w:numPr>
          <w:ilvl w:val="0"/>
          <w:numId w:val="14"/>
        </w:numPr>
        <w:rPr>
          <w:rFonts w:ascii="Palatino Linotype" w:hAnsi="Palatino Linotype"/>
        </w:rPr>
      </w:pPr>
      <w:r w:rsidRPr="005841FB">
        <w:rPr>
          <w:rFonts w:ascii="Palatino Linotype" w:hAnsi="Palatino Linotype"/>
        </w:rPr>
        <w:t>Conducting expert and student review of materials pre and post design (ANU</w:t>
      </w:r>
      <w:r w:rsidR="00603660" w:rsidRPr="005841FB">
        <w:rPr>
          <w:rFonts w:ascii="Palatino Linotype" w:hAnsi="Palatino Linotype"/>
        </w:rPr>
        <w:t>, OUT</w:t>
      </w:r>
      <w:r w:rsidRPr="005841FB">
        <w:rPr>
          <w:rFonts w:ascii="Palatino Linotype" w:hAnsi="Palatino Linotype"/>
        </w:rPr>
        <w:t>).</w:t>
      </w:r>
    </w:p>
    <w:p w14:paraId="4F9A8644" w14:textId="77777777" w:rsidR="00E274C0" w:rsidRPr="005841FB" w:rsidRDefault="00F613B7" w:rsidP="00E274C0">
      <w:pPr>
        <w:rPr>
          <w:rFonts w:ascii="Palatino Linotype" w:hAnsi="Palatino Linotype"/>
        </w:rPr>
      </w:pPr>
      <w:r w:rsidRPr="005841FB">
        <w:rPr>
          <w:rFonts w:ascii="Palatino Linotype" w:hAnsi="Palatino Linotype"/>
        </w:rPr>
        <w:t xml:space="preserve">These research interests mirror closely the kinds of work done by </w:t>
      </w:r>
      <w:r w:rsidRPr="005841FB">
        <w:rPr>
          <w:rFonts w:ascii="Palatino Linotype" w:hAnsi="Palatino Linotype"/>
          <w:i/>
        </w:rPr>
        <w:t>OER Africa</w:t>
      </w:r>
      <w:r w:rsidRPr="005841FB">
        <w:rPr>
          <w:rFonts w:ascii="Palatino Linotype" w:hAnsi="Palatino Linotype"/>
        </w:rPr>
        <w:t xml:space="preserve"> since its inception, suggesting that there has been limited growth in sophistication of understanding of the potential of OER in supporting pedagogical transformation in the last few years. However, the reality is that these kinds of research focuses tend to predominate because the research is relatively simple to implement compared to research focused on more complex research questions.</w:t>
      </w:r>
      <w:r w:rsidR="00E274C0" w:rsidRPr="005841FB">
        <w:rPr>
          <w:rFonts w:ascii="Palatino Linotype" w:hAnsi="Palatino Linotype"/>
        </w:rPr>
        <w:t xml:space="preserve"> Even within this range of questions, baseline studies have tended to be overly focused on using surveys without verification of findings through triangulation, primarily because surveys are relatively simple and cost-effective to implement in short-term research projects, while effective triangulation would require significantly more time and resources.</w:t>
      </w:r>
    </w:p>
    <w:p w14:paraId="761DC38E" w14:textId="77777777" w:rsidR="00E274C0" w:rsidRPr="005841FB" w:rsidRDefault="00E274C0" w:rsidP="00E274C0">
      <w:pPr>
        <w:rPr>
          <w:rFonts w:ascii="Palatino Linotype" w:hAnsi="Palatino Linotype"/>
        </w:rPr>
      </w:pPr>
    </w:p>
    <w:p w14:paraId="6EE40B28" w14:textId="77777777" w:rsidR="00F613B7" w:rsidRPr="005841FB" w:rsidRDefault="00F613B7" w:rsidP="00F613B7">
      <w:pPr>
        <w:rPr>
          <w:rFonts w:ascii="Palatino Linotype" w:hAnsi="Palatino Linotype"/>
        </w:rPr>
      </w:pPr>
      <w:r w:rsidRPr="005841FB">
        <w:rPr>
          <w:rFonts w:ascii="Palatino Linotype" w:hAnsi="Palatino Linotype"/>
        </w:rPr>
        <w:t xml:space="preserve">During this period, </w:t>
      </w:r>
      <w:r w:rsidR="004D12FB" w:rsidRPr="005841FB">
        <w:rPr>
          <w:rFonts w:ascii="Palatino Linotype" w:hAnsi="Palatino Linotype"/>
        </w:rPr>
        <w:t>significant interest has been expressed in exploring additional research themes, such as the following:</w:t>
      </w:r>
    </w:p>
    <w:p w14:paraId="3D8CDF03" w14:textId="77777777" w:rsidR="004D12FB" w:rsidRPr="005841FB" w:rsidRDefault="007A518F" w:rsidP="004D12FB">
      <w:pPr>
        <w:pStyle w:val="ListParagraph"/>
        <w:numPr>
          <w:ilvl w:val="0"/>
          <w:numId w:val="14"/>
        </w:numPr>
        <w:rPr>
          <w:rFonts w:ascii="Palatino Linotype" w:hAnsi="Palatino Linotype"/>
        </w:rPr>
      </w:pPr>
      <w:r w:rsidRPr="005841FB">
        <w:rPr>
          <w:rFonts w:ascii="Palatino Linotype" w:hAnsi="Palatino Linotype"/>
        </w:rPr>
        <w:t>Using student research to generate, collect, and process OERs</w:t>
      </w:r>
      <w:r w:rsidR="004D12FB" w:rsidRPr="005841FB">
        <w:rPr>
          <w:rFonts w:ascii="Palatino Linotype" w:hAnsi="Palatino Linotype"/>
        </w:rPr>
        <w:t>;</w:t>
      </w:r>
    </w:p>
    <w:p w14:paraId="60545C11" w14:textId="77777777" w:rsidR="007A518F" w:rsidRPr="005841FB" w:rsidRDefault="007A518F" w:rsidP="004D12FB">
      <w:pPr>
        <w:pStyle w:val="ListParagraph"/>
        <w:numPr>
          <w:ilvl w:val="0"/>
          <w:numId w:val="14"/>
        </w:numPr>
        <w:rPr>
          <w:rFonts w:ascii="Palatino Linotype" w:hAnsi="Palatino Linotype"/>
        </w:rPr>
      </w:pPr>
      <w:r w:rsidRPr="005841FB">
        <w:rPr>
          <w:rFonts w:ascii="Palatino Linotype" w:hAnsi="Palatino Linotype"/>
        </w:rPr>
        <w:t>Examin</w:t>
      </w:r>
      <w:r w:rsidR="004D12FB" w:rsidRPr="005841FB">
        <w:rPr>
          <w:rFonts w:ascii="Palatino Linotype" w:hAnsi="Palatino Linotype"/>
        </w:rPr>
        <w:t>ing the</w:t>
      </w:r>
      <w:r w:rsidRPr="005841FB">
        <w:rPr>
          <w:rFonts w:ascii="Palatino Linotype" w:hAnsi="Palatino Linotype"/>
        </w:rPr>
        <w:t xml:space="preserve"> impact of using OER </w:t>
      </w:r>
      <w:r w:rsidR="004D12FB" w:rsidRPr="005841FB">
        <w:rPr>
          <w:rFonts w:ascii="Palatino Linotype" w:hAnsi="Palatino Linotype"/>
        </w:rPr>
        <w:t>and m</w:t>
      </w:r>
      <w:r w:rsidRPr="005841FB">
        <w:rPr>
          <w:rFonts w:ascii="Palatino Linotype" w:hAnsi="Palatino Linotype"/>
        </w:rPr>
        <w:t>easur</w:t>
      </w:r>
      <w:r w:rsidR="004D12FB" w:rsidRPr="005841FB">
        <w:rPr>
          <w:rFonts w:ascii="Palatino Linotype" w:hAnsi="Palatino Linotype"/>
        </w:rPr>
        <w:t>ing</w:t>
      </w:r>
      <w:r w:rsidRPr="005841FB">
        <w:rPr>
          <w:rFonts w:ascii="Palatino Linotype" w:hAnsi="Palatino Linotype"/>
        </w:rPr>
        <w:t xml:space="preserve"> improvements in student perfor</w:t>
      </w:r>
      <w:r w:rsidR="004D12FB" w:rsidRPr="005841FB">
        <w:rPr>
          <w:rFonts w:ascii="Palatino Linotype" w:hAnsi="Palatino Linotype"/>
        </w:rPr>
        <w:t>mance;</w:t>
      </w:r>
    </w:p>
    <w:p w14:paraId="1F5CDA2F" w14:textId="77777777" w:rsidR="007A518F" w:rsidRPr="005841FB" w:rsidRDefault="004D12FB" w:rsidP="00F613B7">
      <w:pPr>
        <w:pStyle w:val="ListParagraph"/>
        <w:numPr>
          <w:ilvl w:val="0"/>
          <w:numId w:val="14"/>
        </w:numPr>
        <w:rPr>
          <w:rFonts w:ascii="Palatino Linotype" w:hAnsi="Palatino Linotype"/>
        </w:rPr>
      </w:pPr>
      <w:r w:rsidRPr="005841FB">
        <w:rPr>
          <w:rFonts w:ascii="Palatino Linotype" w:hAnsi="Palatino Linotype"/>
        </w:rPr>
        <w:t>Undertaking f</w:t>
      </w:r>
      <w:r w:rsidR="007A518F" w:rsidRPr="005841FB">
        <w:rPr>
          <w:rFonts w:ascii="Palatino Linotype" w:hAnsi="Palatino Linotype"/>
        </w:rPr>
        <w:t>inancial analysis</w:t>
      </w:r>
      <w:r w:rsidRPr="005841FB">
        <w:rPr>
          <w:rFonts w:ascii="Palatino Linotype" w:hAnsi="Palatino Linotype"/>
        </w:rPr>
        <w:t xml:space="preserve"> of relative costs of using OER in course design.</w:t>
      </w:r>
    </w:p>
    <w:p w14:paraId="482B0707" w14:textId="77777777" w:rsidR="007A518F" w:rsidRPr="005841FB" w:rsidRDefault="004D12FB" w:rsidP="007A518F">
      <w:pPr>
        <w:rPr>
          <w:rFonts w:ascii="Palatino Linotype" w:hAnsi="Palatino Linotype"/>
        </w:rPr>
      </w:pPr>
      <w:r w:rsidRPr="005841FB">
        <w:rPr>
          <w:rFonts w:ascii="Palatino Linotype" w:hAnsi="Palatino Linotype"/>
        </w:rPr>
        <w:t>Despite interest expressed in these themes, there is no meaningful evidence yet of actual research being conducted into such issues. There are two possible reasons for this: first, in some cases, it may be that the issues are being tabled by OER Africa rather than emerging organically; and, second, the complexity of conducting this type of research means that individuals tend to focus instead on less ambitious research agendas.</w:t>
      </w:r>
      <w:r w:rsidR="002253DF" w:rsidRPr="005841FB">
        <w:rPr>
          <w:rFonts w:ascii="Palatino Linotype" w:hAnsi="Palatino Linotype"/>
        </w:rPr>
        <w:t xml:space="preserve"> This is a pity as answering these types of research questions will ultimately be essential to achieving greater take-up and sustainability </w:t>
      </w:r>
      <w:r w:rsidR="007340A8" w:rsidRPr="005841FB">
        <w:rPr>
          <w:rFonts w:ascii="Palatino Linotype" w:hAnsi="Palatino Linotype"/>
        </w:rPr>
        <w:t xml:space="preserve">both at faculty level and </w:t>
      </w:r>
      <w:r w:rsidR="002253DF" w:rsidRPr="005841FB">
        <w:rPr>
          <w:rFonts w:ascii="Palatino Linotype" w:hAnsi="Palatino Linotype"/>
        </w:rPr>
        <w:t>institutionally.</w:t>
      </w:r>
      <w:r w:rsidR="007340A8" w:rsidRPr="005841FB">
        <w:rPr>
          <w:rFonts w:ascii="Palatino Linotype" w:hAnsi="Palatino Linotype"/>
        </w:rPr>
        <w:t xml:space="preserve"> In addition, in some instances, it means that innovations are being introduced that are not being properly </w:t>
      </w:r>
      <w:r w:rsidR="007340A8" w:rsidRPr="005841FB">
        <w:rPr>
          <w:rFonts w:ascii="Palatino Linotype" w:hAnsi="Palatino Linotype"/>
        </w:rPr>
        <w:lastRenderedPageBreak/>
        <w:t>researched against a substantive baseline. This means that decisions about whether to scale up such innovations or abandon them tend to be driven by political considerations, anecdotal evidence, and/or the opinions of influential personalities, rather than grounded research.</w:t>
      </w:r>
    </w:p>
    <w:p w14:paraId="35B97C19" w14:textId="77777777" w:rsidR="00E274C0" w:rsidRPr="005841FB" w:rsidRDefault="00E274C0" w:rsidP="007A518F">
      <w:pPr>
        <w:rPr>
          <w:rFonts w:ascii="Palatino Linotype" w:hAnsi="Palatino Linotype"/>
        </w:rPr>
      </w:pPr>
    </w:p>
    <w:p w14:paraId="27DA9BC8" w14:textId="77777777" w:rsidR="00E274C0" w:rsidRPr="005841FB" w:rsidRDefault="00E274C0" w:rsidP="007A518F">
      <w:pPr>
        <w:rPr>
          <w:rFonts w:ascii="Palatino Linotype" w:hAnsi="Palatino Linotype"/>
        </w:rPr>
      </w:pPr>
      <w:r w:rsidRPr="005841FB">
        <w:rPr>
          <w:rFonts w:ascii="Palatino Linotype" w:hAnsi="Palatino Linotype"/>
        </w:rPr>
        <w:t>The engagements reflect also that research capacity remains very limited in many institutions. This problem is reflected both in challenges experienced in designing good research projects and in difficulties still reported by many academics in knowing how to find OER (which is effectively a simple research skill). For many academics, online research still seems to be an unusual practice. From this perspective, the work of the CTL in introducing a PAR research agenda amongst CTL staff as a strategy to build institutional capacity in research on teaching and learning is noteworthy.</w:t>
      </w:r>
    </w:p>
    <w:p w14:paraId="08971330" w14:textId="77777777" w:rsidR="004D12FB" w:rsidRPr="005841FB" w:rsidRDefault="002253DF" w:rsidP="002253DF">
      <w:pPr>
        <w:pStyle w:val="Heading3"/>
        <w:rPr>
          <w:rFonts w:ascii="Palatino Linotype" w:hAnsi="Palatino Linotype"/>
        </w:rPr>
      </w:pPr>
      <w:r w:rsidRPr="005841FB">
        <w:rPr>
          <w:rFonts w:ascii="Palatino Linotype" w:hAnsi="Palatino Linotype"/>
        </w:rPr>
        <w:t xml:space="preserve">Emerging </w:t>
      </w:r>
      <w:r w:rsidR="00B83039" w:rsidRPr="005841FB">
        <w:rPr>
          <w:rFonts w:ascii="Palatino Linotype" w:hAnsi="Palatino Linotype"/>
        </w:rPr>
        <w:t xml:space="preserve">OER </w:t>
      </w:r>
      <w:r w:rsidRPr="005841FB">
        <w:rPr>
          <w:rFonts w:ascii="Palatino Linotype" w:hAnsi="Palatino Linotype"/>
        </w:rPr>
        <w:t>issues</w:t>
      </w:r>
    </w:p>
    <w:p w14:paraId="26C7CF83" w14:textId="77777777" w:rsidR="007340A8" w:rsidRPr="005841FB" w:rsidRDefault="007340A8" w:rsidP="007340A8">
      <w:pPr>
        <w:rPr>
          <w:rFonts w:ascii="Palatino Linotype" w:hAnsi="Palatino Linotype"/>
        </w:rPr>
      </w:pPr>
      <w:r w:rsidRPr="005841FB">
        <w:rPr>
          <w:rFonts w:ascii="Palatino Linotype" w:hAnsi="Palatino Linotype"/>
        </w:rPr>
        <w:t>Project activities within institutions have yielded various general insights worth noting. These are discussed briefly below:</w:t>
      </w:r>
    </w:p>
    <w:p w14:paraId="5A709B79" w14:textId="77777777" w:rsidR="007340A8" w:rsidRPr="005841FB" w:rsidRDefault="007340A8" w:rsidP="007340A8">
      <w:pPr>
        <w:pStyle w:val="Heading4"/>
        <w:rPr>
          <w:rFonts w:ascii="Palatino Linotype" w:hAnsi="Palatino Linotype"/>
        </w:rPr>
      </w:pPr>
      <w:r w:rsidRPr="005841FB">
        <w:rPr>
          <w:rFonts w:ascii="Palatino Linotype" w:hAnsi="Palatino Linotype"/>
        </w:rPr>
        <w:t>OER, ICT, and Pedagogy</w:t>
      </w:r>
    </w:p>
    <w:p w14:paraId="2D09445B" w14:textId="77777777" w:rsidR="004742D5" w:rsidRPr="005841FB" w:rsidRDefault="004742D5" w:rsidP="004742D5">
      <w:pPr>
        <w:rPr>
          <w:rFonts w:ascii="Palatino Linotype" w:hAnsi="Palatino Linotype"/>
        </w:rPr>
      </w:pPr>
      <w:r w:rsidRPr="005841FB">
        <w:rPr>
          <w:rFonts w:ascii="Palatino Linotype" w:hAnsi="Palatino Linotype"/>
        </w:rPr>
        <w:t xml:space="preserve">Sadly, technology take-up and penetration in universities, especially amongst students and in universities north of South Africa, remains frustratingly slow. Access is expanding, but ICT penetration both on and beyond campuses is relatively slowly compared to other parts of the world. This is the case despite many optimistic predictions having been made in recent years about the speed of technological penetration in African societies. On university campuses, recent developments in the work of the Tertiary Education Network (TENET) have registered significant gains in ICT access on campuses and this is evident in rapidly changing behaviours amongst students, but ICT access for distance education students such as those enrolled at </w:t>
      </w:r>
      <w:proofErr w:type="spellStart"/>
      <w:r w:rsidRPr="005841FB">
        <w:rPr>
          <w:rFonts w:ascii="Palatino Linotype" w:hAnsi="Palatino Linotype"/>
        </w:rPr>
        <w:t>Unisa</w:t>
      </w:r>
      <w:proofErr w:type="spellEnd"/>
      <w:r w:rsidRPr="005841FB">
        <w:rPr>
          <w:rFonts w:ascii="Palatino Linotype" w:hAnsi="Palatino Linotype"/>
        </w:rPr>
        <w:t xml:space="preserve"> is still highly variable. In the Kenyan and Tanzanian universities, though, ICT infrastructure gains even on university campuses tend to be incremental rather than exponential. This places significant limits on the extent to which openly licensed content can be harnessed to introduce many of the innovations documented in </w:t>
      </w:r>
      <w:r w:rsidRPr="005841FB">
        <w:rPr>
          <w:rFonts w:ascii="Palatino Linotype" w:hAnsi="Palatino Linotype"/>
          <w:i/>
        </w:rPr>
        <w:t xml:space="preserve">OER Africa </w:t>
      </w:r>
      <w:r w:rsidRPr="005841FB">
        <w:rPr>
          <w:rFonts w:ascii="Palatino Linotype" w:hAnsi="Palatino Linotype"/>
        </w:rPr>
        <w:t>publications and other writings on OER.</w:t>
      </w:r>
    </w:p>
    <w:p w14:paraId="579010E7" w14:textId="77777777" w:rsidR="004742D5" w:rsidRPr="005841FB" w:rsidRDefault="004742D5" w:rsidP="007340A8">
      <w:pPr>
        <w:rPr>
          <w:rFonts w:ascii="Palatino Linotype" w:hAnsi="Palatino Linotype"/>
        </w:rPr>
      </w:pPr>
    </w:p>
    <w:p w14:paraId="4CE55073" w14:textId="6F6F2D7B" w:rsidR="007A518F" w:rsidRPr="005841FB" w:rsidRDefault="004742D5" w:rsidP="007340A8">
      <w:pPr>
        <w:rPr>
          <w:rFonts w:ascii="Palatino Linotype" w:hAnsi="Palatino Linotype"/>
        </w:rPr>
      </w:pPr>
      <w:r w:rsidRPr="005841FB">
        <w:rPr>
          <w:rFonts w:ascii="Palatino Linotype" w:hAnsi="Palatino Linotype"/>
        </w:rPr>
        <w:t>Despite this, t</w:t>
      </w:r>
      <w:r w:rsidR="007340A8" w:rsidRPr="005841FB">
        <w:rPr>
          <w:rFonts w:ascii="Palatino Linotype" w:hAnsi="Palatino Linotype"/>
        </w:rPr>
        <w:t>here is a g</w:t>
      </w:r>
      <w:r w:rsidR="007A518F" w:rsidRPr="005841FB">
        <w:rPr>
          <w:rFonts w:ascii="Palatino Linotype" w:hAnsi="Palatino Linotype"/>
        </w:rPr>
        <w:t>rowing focus on harnessing OERs to improve quality</w:t>
      </w:r>
      <w:r w:rsidR="007340A8" w:rsidRPr="005841FB">
        <w:rPr>
          <w:rFonts w:ascii="Palatino Linotype" w:hAnsi="Palatino Linotype"/>
        </w:rPr>
        <w:t xml:space="preserve"> of teaching and learning materials during course design and development projects.</w:t>
      </w:r>
      <w:r w:rsidR="007A518F" w:rsidRPr="005841FB">
        <w:rPr>
          <w:rFonts w:ascii="Palatino Linotype" w:hAnsi="Palatino Linotype"/>
        </w:rPr>
        <w:t xml:space="preserve"> </w:t>
      </w:r>
      <w:r w:rsidR="007340A8" w:rsidRPr="005841FB">
        <w:rPr>
          <w:rFonts w:ascii="Palatino Linotype" w:hAnsi="Palatino Linotype"/>
        </w:rPr>
        <w:t>Although some q</w:t>
      </w:r>
      <w:r w:rsidR="007A518F" w:rsidRPr="005841FB">
        <w:rPr>
          <w:rFonts w:ascii="Palatino Linotype" w:hAnsi="Palatino Linotype"/>
        </w:rPr>
        <w:t>uality concerns remain</w:t>
      </w:r>
      <w:r w:rsidR="007340A8" w:rsidRPr="005841FB">
        <w:rPr>
          <w:rFonts w:ascii="Palatino Linotype" w:hAnsi="Palatino Linotype"/>
        </w:rPr>
        <w:t>,</w:t>
      </w:r>
      <w:r w:rsidR="007A518F" w:rsidRPr="005841FB">
        <w:rPr>
          <w:rFonts w:ascii="Palatino Linotype" w:hAnsi="Palatino Linotype"/>
        </w:rPr>
        <w:t xml:space="preserve"> </w:t>
      </w:r>
      <w:r w:rsidR="007340A8" w:rsidRPr="005841FB">
        <w:rPr>
          <w:rFonts w:ascii="Palatino Linotype" w:hAnsi="Palatino Linotype"/>
        </w:rPr>
        <w:t xml:space="preserve">generalized </w:t>
      </w:r>
      <w:r w:rsidR="007A518F" w:rsidRPr="005841FB">
        <w:rPr>
          <w:rFonts w:ascii="Palatino Linotype" w:hAnsi="Palatino Linotype"/>
        </w:rPr>
        <w:t xml:space="preserve">negative perceptions of OER as ‘poor quality’ </w:t>
      </w:r>
      <w:r w:rsidR="007340A8" w:rsidRPr="005841FB">
        <w:rPr>
          <w:rFonts w:ascii="Palatino Linotype" w:hAnsi="Palatino Linotype"/>
        </w:rPr>
        <w:t xml:space="preserve">because they are freely available </w:t>
      </w:r>
      <w:r w:rsidR="007A518F" w:rsidRPr="005841FB">
        <w:rPr>
          <w:rFonts w:ascii="Palatino Linotype" w:hAnsi="Palatino Linotype"/>
        </w:rPr>
        <w:t>are reducing</w:t>
      </w:r>
      <w:r w:rsidR="007340A8" w:rsidRPr="005841FB">
        <w:rPr>
          <w:rFonts w:ascii="Palatino Linotype" w:hAnsi="Palatino Linotype"/>
        </w:rPr>
        <w:t xml:space="preserve"> quite rapidly, as is the time taken to persuade people of the merits of running searches to find existing content to integrate into courses. Of course, part of this imperative is also to seek to contain the costs of course materials design and/or to save time spent on content development, but it is equally clear that there is a growing sense that judicious use of OER can help to improve the quality of courses. This imperative was particularly strong in discussions on OER at </w:t>
      </w:r>
      <w:proofErr w:type="spellStart"/>
      <w:r w:rsidR="007340A8" w:rsidRPr="005841FB">
        <w:rPr>
          <w:rFonts w:ascii="Palatino Linotype" w:hAnsi="Palatino Linotype"/>
        </w:rPr>
        <w:t>Unisa</w:t>
      </w:r>
      <w:proofErr w:type="spellEnd"/>
      <w:r w:rsidR="007340A8" w:rsidRPr="005841FB">
        <w:rPr>
          <w:rFonts w:ascii="Palatino Linotype" w:hAnsi="Palatino Linotype"/>
        </w:rPr>
        <w:t>, but is also a core part of the rationale for developing the capacity of CTL support staff to harness OER during course design activities that they undertake with academics at UFS.</w:t>
      </w:r>
      <w:r w:rsidR="00D90443" w:rsidRPr="005841FB">
        <w:rPr>
          <w:rFonts w:ascii="Palatino Linotype" w:hAnsi="Palatino Linotype"/>
        </w:rPr>
        <w:t xml:space="preserve"> It is also the case that when academics know their material is going to be made open for everyone to see, they tend to be more careful about its design.</w:t>
      </w:r>
    </w:p>
    <w:p w14:paraId="144C2026" w14:textId="77777777" w:rsidR="007A518F" w:rsidRPr="005841FB" w:rsidRDefault="007A518F" w:rsidP="007340A8">
      <w:pPr>
        <w:rPr>
          <w:rFonts w:ascii="Palatino Linotype" w:hAnsi="Palatino Linotype"/>
        </w:rPr>
      </w:pPr>
    </w:p>
    <w:p w14:paraId="477A1983" w14:textId="70076BB3" w:rsidR="004742D5" w:rsidRPr="005841FB" w:rsidRDefault="007340A8" w:rsidP="004742D5">
      <w:pPr>
        <w:rPr>
          <w:rFonts w:ascii="Palatino Linotype" w:hAnsi="Palatino Linotype"/>
        </w:rPr>
      </w:pPr>
      <w:r w:rsidRPr="005841FB">
        <w:rPr>
          <w:rFonts w:ascii="Palatino Linotype" w:hAnsi="Palatino Linotype"/>
        </w:rPr>
        <w:lastRenderedPageBreak/>
        <w:t>As growth of OER and eLearning continues, content management is becoming a significant problem</w:t>
      </w:r>
      <w:r w:rsidR="004742D5" w:rsidRPr="005841FB">
        <w:rPr>
          <w:rFonts w:ascii="Palatino Linotype" w:hAnsi="Palatino Linotype"/>
        </w:rPr>
        <w:t>, a problem that is noted across all participating universities. Paradoxically for institutions that are ostensibl</w:t>
      </w:r>
      <w:r w:rsidR="00D358AD" w:rsidRPr="005841FB">
        <w:rPr>
          <w:rFonts w:ascii="Palatino Linotype" w:hAnsi="Palatino Linotype"/>
        </w:rPr>
        <w:t>y</w:t>
      </w:r>
      <w:r w:rsidR="004742D5" w:rsidRPr="005841FB">
        <w:rPr>
          <w:rFonts w:ascii="Palatino Linotype" w:hAnsi="Palatino Linotype"/>
        </w:rPr>
        <w:t xml:space="preserve"> at the forefront of the knowledge society, there is relatively little emphasis on institutional content management solutions being implemented to store and share digitized content amongst staff and students. At </w:t>
      </w:r>
      <w:proofErr w:type="spellStart"/>
      <w:r w:rsidR="004742D5" w:rsidRPr="005841FB">
        <w:rPr>
          <w:rFonts w:ascii="Palatino Linotype" w:hAnsi="Palatino Linotype"/>
        </w:rPr>
        <w:t>Unisa</w:t>
      </w:r>
      <w:proofErr w:type="spellEnd"/>
      <w:r w:rsidR="004742D5" w:rsidRPr="005841FB">
        <w:rPr>
          <w:rFonts w:ascii="Palatino Linotype" w:hAnsi="Palatino Linotype"/>
        </w:rPr>
        <w:t>, significant investment was being made in implementation of an Enterprise Content Management (ECM) system, but oddly this seemed to focus primarily on administrative documentation rather than managing the institution’s core IP, its ODL materials.</w:t>
      </w:r>
      <w:r w:rsidRPr="005841FB">
        <w:rPr>
          <w:rFonts w:ascii="Palatino Linotype" w:hAnsi="Palatino Linotype"/>
        </w:rPr>
        <w:t xml:space="preserve"> </w:t>
      </w:r>
      <w:r w:rsidR="004742D5" w:rsidRPr="005841FB">
        <w:rPr>
          <w:rFonts w:ascii="Palatino Linotype" w:hAnsi="Palatino Linotype"/>
        </w:rPr>
        <w:t>At other institutions, the problem of establishing some kind of ECM system is reported and discussed, but relatively little progress has been made in this regard, at least as far as teaching and learning materials sharing is concerned. Effective storage and management of digitized teaching and learning materials is a significant and growing problem at universities, especially as it leads to significant duplication of efforts, loss of IP, and weakened collaborative practices during content development.</w:t>
      </w:r>
    </w:p>
    <w:p w14:paraId="323189E9" w14:textId="77777777" w:rsidR="004742D5" w:rsidRPr="005841FB" w:rsidRDefault="004742D5" w:rsidP="004742D5">
      <w:pPr>
        <w:rPr>
          <w:rFonts w:ascii="Palatino Linotype" w:hAnsi="Palatino Linotype"/>
        </w:rPr>
      </w:pPr>
    </w:p>
    <w:p w14:paraId="318488E3" w14:textId="77777777" w:rsidR="0054185C" w:rsidRPr="005841FB" w:rsidRDefault="004742D5" w:rsidP="0054185C">
      <w:pPr>
        <w:rPr>
          <w:rFonts w:ascii="Palatino Linotype" w:hAnsi="Palatino Linotype"/>
        </w:rPr>
      </w:pPr>
      <w:r w:rsidRPr="005841FB">
        <w:rPr>
          <w:rFonts w:ascii="Palatino Linotype" w:hAnsi="Palatino Linotype"/>
        </w:rPr>
        <w:t xml:space="preserve">Notwithstanding the focus of </w:t>
      </w:r>
      <w:r w:rsidR="00A02849" w:rsidRPr="005841FB">
        <w:rPr>
          <w:rFonts w:ascii="Palatino Linotype" w:hAnsi="Palatino Linotype"/>
        </w:rPr>
        <w:t xml:space="preserve">the </w:t>
      </w:r>
      <w:r w:rsidRPr="005841FB">
        <w:rPr>
          <w:rFonts w:ascii="Palatino Linotype" w:hAnsi="Palatino Linotype"/>
          <w:i/>
        </w:rPr>
        <w:t>OER Africa</w:t>
      </w:r>
      <w:r w:rsidRPr="005841FB">
        <w:rPr>
          <w:rFonts w:ascii="Palatino Linotype" w:hAnsi="Palatino Linotype"/>
        </w:rPr>
        <w:t xml:space="preserve"> grant, t</w:t>
      </w:r>
      <w:r w:rsidR="007A518F" w:rsidRPr="005841FB">
        <w:rPr>
          <w:rFonts w:ascii="Palatino Linotype" w:hAnsi="Palatino Linotype"/>
        </w:rPr>
        <w:t xml:space="preserve">here is </w:t>
      </w:r>
      <w:r w:rsidRPr="005841FB">
        <w:rPr>
          <w:rFonts w:ascii="Palatino Linotype" w:hAnsi="Palatino Linotype"/>
        </w:rPr>
        <w:t xml:space="preserve">limited </w:t>
      </w:r>
      <w:r w:rsidR="007A518F" w:rsidRPr="005841FB">
        <w:rPr>
          <w:rFonts w:ascii="Palatino Linotype" w:hAnsi="Palatino Linotype"/>
        </w:rPr>
        <w:t>evidence in most project</w:t>
      </w:r>
      <w:r w:rsidRPr="005841FB">
        <w:rPr>
          <w:rFonts w:ascii="Palatino Linotype" w:hAnsi="Palatino Linotype"/>
        </w:rPr>
        <w:t xml:space="preserve"> activitie</w:t>
      </w:r>
      <w:r w:rsidR="007A518F" w:rsidRPr="005841FB">
        <w:rPr>
          <w:rFonts w:ascii="Palatino Linotype" w:hAnsi="Palatino Linotype"/>
        </w:rPr>
        <w:t>s of any significant shifts in pedagogy yet</w:t>
      </w:r>
      <w:r w:rsidRPr="005841FB">
        <w:rPr>
          <w:rFonts w:ascii="Palatino Linotype" w:hAnsi="Palatino Linotype"/>
        </w:rPr>
        <w:t xml:space="preserve">. Typically, </w:t>
      </w:r>
      <w:r w:rsidR="007A518F" w:rsidRPr="005841FB">
        <w:rPr>
          <w:rFonts w:ascii="Palatino Linotype" w:hAnsi="Palatino Linotype"/>
        </w:rPr>
        <w:t xml:space="preserve">OER </w:t>
      </w:r>
      <w:r w:rsidRPr="005841FB">
        <w:rPr>
          <w:rFonts w:ascii="Palatino Linotype" w:hAnsi="Palatino Linotype"/>
        </w:rPr>
        <w:t xml:space="preserve">is </w:t>
      </w:r>
      <w:r w:rsidR="007A518F" w:rsidRPr="005841FB">
        <w:rPr>
          <w:rFonts w:ascii="Palatino Linotype" w:hAnsi="Palatino Linotype"/>
        </w:rPr>
        <w:t>still mostly being harnessed to support traditional pedagogies</w:t>
      </w:r>
      <w:r w:rsidRPr="005841FB">
        <w:rPr>
          <w:rFonts w:ascii="Palatino Linotype" w:hAnsi="Palatino Linotype"/>
        </w:rPr>
        <w:t xml:space="preserve">, even in cases where it forms part of a broader shift to e-learning. This does not mean that the work is not of value, especially noting the emphasis on harnessing OER to improve quality, but </w:t>
      </w:r>
      <w:r w:rsidR="00D53B22" w:rsidRPr="005841FB">
        <w:rPr>
          <w:rFonts w:ascii="Palatino Linotype" w:hAnsi="Palatino Linotype"/>
        </w:rPr>
        <w:t>quality is still largely perceived in quite traditional terms. Of course, there are exceptions to this</w:t>
      </w:r>
      <w:r w:rsidR="0054185C" w:rsidRPr="005841FB">
        <w:rPr>
          <w:rFonts w:ascii="Palatino Linotype" w:hAnsi="Palatino Linotype"/>
        </w:rPr>
        <w:t xml:space="preserve">. For example, </w:t>
      </w:r>
      <w:proofErr w:type="spellStart"/>
      <w:r w:rsidR="0054185C" w:rsidRPr="005841FB">
        <w:rPr>
          <w:rFonts w:ascii="Palatino Linotype" w:hAnsi="Palatino Linotype"/>
        </w:rPr>
        <w:t>Onderstepoort</w:t>
      </w:r>
      <w:proofErr w:type="spellEnd"/>
      <w:r w:rsidR="0054185C" w:rsidRPr="005841FB">
        <w:rPr>
          <w:rFonts w:ascii="Palatino Linotype" w:hAnsi="Palatino Linotype"/>
        </w:rPr>
        <w:t xml:space="preserve"> is introducing use of OER to support a shift to a block teaching method in its flagship veterinary sciences degree programme, while ANU was introducing use of OER to develop distance education modules as part of an institutional expansion of that teaching and learning mode. </w:t>
      </w:r>
    </w:p>
    <w:p w14:paraId="44842CC1" w14:textId="77777777" w:rsidR="0054185C" w:rsidRPr="005841FB" w:rsidRDefault="0054185C" w:rsidP="0054185C">
      <w:pPr>
        <w:rPr>
          <w:rFonts w:ascii="Palatino Linotype" w:hAnsi="Palatino Linotype"/>
        </w:rPr>
      </w:pPr>
    </w:p>
    <w:p w14:paraId="1DB5BC1C" w14:textId="77777777" w:rsidR="0054185C" w:rsidRPr="005841FB" w:rsidRDefault="0054185C" w:rsidP="0054185C">
      <w:pPr>
        <w:rPr>
          <w:rFonts w:ascii="Palatino Linotype" w:hAnsi="Palatino Linotype"/>
        </w:rPr>
      </w:pPr>
      <w:r w:rsidRPr="005841FB">
        <w:rPr>
          <w:rFonts w:ascii="Palatino Linotype" w:hAnsi="Palatino Linotype"/>
        </w:rPr>
        <w:t xml:space="preserve">However, efforts to introduce innovation, even when initially successful are often slowly strangled by </w:t>
      </w:r>
      <w:r w:rsidR="00A02849" w:rsidRPr="005841FB">
        <w:rPr>
          <w:rFonts w:ascii="Palatino Linotype" w:hAnsi="Palatino Linotype"/>
        </w:rPr>
        <w:t xml:space="preserve">the </w:t>
      </w:r>
      <w:r w:rsidRPr="005841FB">
        <w:rPr>
          <w:rFonts w:ascii="Palatino Linotype" w:hAnsi="Palatino Linotype"/>
        </w:rPr>
        <w:t xml:space="preserve">weight of tradition and scale of bureaucracy. The most extreme example of this was possibly </w:t>
      </w:r>
      <w:proofErr w:type="spellStart"/>
      <w:r w:rsidR="007A518F" w:rsidRPr="005841FB">
        <w:rPr>
          <w:rFonts w:ascii="Palatino Linotype" w:hAnsi="Palatino Linotype"/>
        </w:rPr>
        <w:t>Unisa</w:t>
      </w:r>
      <w:r w:rsidRPr="005841FB">
        <w:rPr>
          <w:rFonts w:ascii="Palatino Linotype" w:hAnsi="Palatino Linotype"/>
        </w:rPr>
        <w:t>’s</w:t>
      </w:r>
      <w:proofErr w:type="spellEnd"/>
      <w:r w:rsidR="007A518F" w:rsidRPr="005841FB">
        <w:rPr>
          <w:rFonts w:ascii="Palatino Linotype" w:hAnsi="Palatino Linotype"/>
        </w:rPr>
        <w:t xml:space="preserve"> </w:t>
      </w:r>
      <w:r w:rsidRPr="005841FB">
        <w:rPr>
          <w:rFonts w:ascii="Palatino Linotype" w:hAnsi="Palatino Linotype"/>
        </w:rPr>
        <w:t xml:space="preserve">College of Accounting Science’s </w:t>
      </w:r>
      <w:r w:rsidR="007A518F" w:rsidRPr="005841FB">
        <w:rPr>
          <w:rFonts w:ascii="Palatino Linotype" w:hAnsi="Palatino Linotype"/>
        </w:rPr>
        <w:t>MOOC</w:t>
      </w:r>
      <w:r w:rsidRPr="005841FB">
        <w:rPr>
          <w:rFonts w:ascii="Palatino Linotype" w:hAnsi="Palatino Linotype"/>
        </w:rPr>
        <w:t>, which represented a highly ambitious</w:t>
      </w:r>
      <w:r w:rsidR="007A518F" w:rsidRPr="005841FB">
        <w:rPr>
          <w:rFonts w:ascii="Palatino Linotype" w:hAnsi="Palatino Linotype"/>
        </w:rPr>
        <w:t xml:space="preserve"> attempt to introduce new ways of teaching and learning</w:t>
      </w:r>
      <w:r w:rsidRPr="005841FB">
        <w:rPr>
          <w:rFonts w:ascii="Palatino Linotype" w:hAnsi="Palatino Linotype"/>
        </w:rPr>
        <w:t xml:space="preserve"> to supplement mainstream courses. Despite initial support, internal politics unrelated to the MOOC activity eventually led to the freezing of funds for the project.</w:t>
      </w:r>
      <w:r w:rsidR="00A02849" w:rsidRPr="005841FB">
        <w:rPr>
          <w:rFonts w:ascii="Palatino Linotype" w:hAnsi="Palatino Linotype"/>
        </w:rPr>
        <w:t xml:space="preserve"> Related to this has been a reminder in projects in the time needed to complete work, especially those pertaining to course design and development. The time required is often surprising, </w:t>
      </w:r>
      <w:r w:rsidRPr="005841FB">
        <w:rPr>
          <w:rFonts w:ascii="Palatino Linotype" w:hAnsi="Palatino Linotype"/>
        </w:rPr>
        <w:t>even for those used to working in universities</w:t>
      </w:r>
      <w:r w:rsidR="00A02849" w:rsidRPr="005841FB">
        <w:rPr>
          <w:rFonts w:ascii="Palatino Linotype" w:hAnsi="Palatino Linotype"/>
        </w:rPr>
        <w:t xml:space="preserve">. This is not a criticism of project partners, but rather a reflection on the extent to which university staff in African universities face multiple competing demands on their time that constrain their ability to focus on activities of the kind being prioritized in the </w:t>
      </w:r>
      <w:r w:rsidR="00A02849" w:rsidRPr="005841FB">
        <w:rPr>
          <w:rFonts w:ascii="Palatino Linotype" w:hAnsi="Palatino Linotype"/>
          <w:i/>
        </w:rPr>
        <w:t>OER Africa</w:t>
      </w:r>
      <w:r w:rsidR="00A02849" w:rsidRPr="005841FB">
        <w:rPr>
          <w:rFonts w:ascii="Palatino Linotype" w:hAnsi="Palatino Linotype"/>
        </w:rPr>
        <w:t xml:space="preserve"> partnerships. A key driver of this is the extent of academic administration now required in most universities, which occupies a significant (and possibly growing) portion of academics’ workload. Equally, it demonstrates that, at least structurally, there is relatively little weight attached to activities focused on improving teaching and learning, even where there is apparently strong in-principle commitment to it.</w:t>
      </w:r>
    </w:p>
    <w:p w14:paraId="5FFE4966" w14:textId="77777777" w:rsidR="0054185C" w:rsidRPr="005841FB" w:rsidRDefault="0054185C" w:rsidP="0054185C">
      <w:pPr>
        <w:rPr>
          <w:rFonts w:ascii="Palatino Linotype" w:hAnsi="Palatino Linotype"/>
        </w:rPr>
      </w:pPr>
    </w:p>
    <w:p w14:paraId="3952B5FB" w14:textId="77777777" w:rsidR="007A518F" w:rsidRPr="005841FB" w:rsidRDefault="00A02849" w:rsidP="0054185C">
      <w:pPr>
        <w:rPr>
          <w:rFonts w:ascii="Palatino Linotype" w:hAnsi="Palatino Linotype"/>
        </w:rPr>
      </w:pPr>
      <w:r w:rsidRPr="005841FB">
        <w:rPr>
          <w:rFonts w:ascii="Palatino Linotype" w:hAnsi="Palatino Linotype"/>
        </w:rPr>
        <w:t xml:space="preserve">As a consequence, efforts to introduce and grow OER practices remain heavily reliant </w:t>
      </w:r>
      <w:r w:rsidR="007A518F" w:rsidRPr="005841FB">
        <w:rPr>
          <w:rFonts w:ascii="Palatino Linotype" w:hAnsi="Palatino Linotype"/>
        </w:rPr>
        <w:t>on individual champions</w:t>
      </w:r>
      <w:r w:rsidRPr="005841FB">
        <w:rPr>
          <w:rFonts w:ascii="Palatino Linotype" w:hAnsi="Palatino Linotype"/>
        </w:rPr>
        <w:t xml:space="preserve">. This can have highly disruptive consequences when that champion leaves, even where focus on OER has been introduced into institutional plans. For example, at </w:t>
      </w:r>
      <w:proofErr w:type="spellStart"/>
      <w:r w:rsidRPr="005841FB">
        <w:rPr>
          <w:rFonts w:ascii="Palatino Linotype" w:hAnsi="Palatino Linotype"/>
        </w:rPr>
        <w:t>Onderstepoort</w:t>
      </w:r>
      <w:proofErr w:type="spellEnd"/>
      <w:r w:rsidRPr="005841FB">
        <w:rPr>
          <w:rFonts w:ascii="Palatino Linotype" w:hAnsi="Palatino Linotype"/>
        </w:rPr>
        <w:t>, OER activities are integrated into the Faculty Plan, but the departure of the Deputy Dean responsible for these activities has led to significant disruption and required extensive advocacy to seek to regain the momentum. I</w:t>
      </w:r>
      <w:r w:rsidR="007A518F" w:rsidRPr="005841FB">
        <w:rPr>
          <w:rFonts w:ascii="Palatino Linotype" w:hAnsi="Palatino Linotype"/>
        </w:rPr>
        <w:t xml:space="preserve">n some cases, </w:t>
      </w:r>
      <w:r w:rsidRPr="005841FB">
        <w:rPr>
          <w:rFonts w:ascii="Palatino Linotype" w:hAnsi="Palatino Linotype"/>
        </w:rPr>
        <w:t xml:space="preserve">it is apparent that projects </w:t>
      </w:r>
      <w:r w:rsidRPr="005841FB">
        <w:rPr>
          <w:rFonts w:ascii="Palatino Linotype" w:hAnsi="Palatino Linotype"/>
        </w:rPr>
        <w:lastRenderedPageBreak/>
        <w:t xml:space="preserve">would not exist </w:t>
      </w:r>
      <w:r w:rsidR="007A518F" w:rsidRPr="005841FB">
        <w:rPr>
          <w:rFonts w:ascii="Palatino Linotype" w:hAnsi="Palatino Linotype"/>
        </w:rPr>
        <w:t xml:space="preserve">were </w:t>
      </w:r>
      <w:r w:rsidRPr="005841FB">
        <w:rPr>
          <w:rFonts w:ascii="Palatino Linotype" w:hAnsi="Palatino Linotype"/>
        </w:rPr>
        <w:t xml:space="preserve">at all </w:t>
      </w:r>
      <w:r w:rsidR="007A518F" w:rsidRPr="005841FB">
        <w:rPr>
          <w:rFonts w:ascii="Palatino Linotype" w:hAnsi="Palatino Linotype"/>
        </w:rPr>
        <w:t xml:space="preserve">it not for </w:t>
      </w:r>
      <w:r w:rsidRPr="005841FB">
        <w:rPr>
          <w:rFonts w:ascii="Palatino Linotype" w:hAnsi="Palatino Linotype"/>
        </w:rPr>
        <w:t xml:space="preserve">the </w:t>
      </w:r>
      <w:r w:rsidR="007A518F" w:rsidRPr="005841FB">
        <w:rPr>
          <w:rFonts w:ascii="Palatino Linotype" w:hAnsi="Palatino Linotype"/>
        </w:rPr>
        <w:t>OER Africa relationship</w:t>
      </w:r>
      <w:r w:rsidRPr="005841FB">
        <w:rPr>
          <w:rFonts w:ascii="Palatino Linotype" w:hAnsi="Palatino Linotype"/>
        </w:rPr>
        <w:t xml:space="preserve">, </w:t>
      </w:r>
      <w:r w:rsidR="007A518F" w:rsidRPr="005841FB">
        <w:rPr>
          <w:rFonts w:ascii="Palatino Linotype" w:hAnsi="Palatino Linotype"/>
        </w:rPr>
        <w:t xml:space="preserve">which raises some concerns about </w:t>
      </w:r>
      <w:r w:rsidRPr="005841FB">
        <w:rPr>
          <w:rFonts w:ascii="Palatino Linotype" w:hAnsi="Palatino Linotype"/>
        </w:rPr>
        <w:t xml:space="preserve">their </w:t>
      </w:r>
      <w:r w:rsidR="007A518F" w:rsidRPr="005841FB">
        <w:rPr>
          <w:rFonts w:ascii="Palatino Linotype" w:hAnsi="Palatino Linotype"/>
        </w:rPr>
        <w:t xml:space="preserve">sustainability </w:t>
      </w:r>
      <w:r w:rsidRPr="005841FB">
        <w:rPr>
          <w:rFonts w:ascii="Palatino Linotype" w:hAnsi="Palatino Linotype"/>
        </w:rPr>
        <w:t xml:space="preserve">at the end of the project. </w:t>
      </w:r>
    </w:p>
    <w:p w14:paraId="351C358D" w14:textId="77777777" w:rsidR="007A518F" w:rsidRPr="005841FB" w:rsidRDefault="00A02849" w:rsidP="00A02849">
      <w:pPr>
        <w:pStyle w:val="Heading4"/>
        <w:rPr>
          <w:rFonts w:ascii="Palatino Linotype" w:hAnsi="Palatino Linotype"/>
        </w:rPr>
      </w:pPr>
      <w:r w:rsidRPr="005841FB">
        <w:rPr>
          <w:rFonts w:ascii="Palatino Linotype" w:hAnsi="Palatino Linotype"/>
        </w:rPr>
        <w:t>Policy issues</w:t>
      </w:r>
    </w:p>
    <w:p w14:paraId="163F341F" w14:textId="77777777" w:rsidR="007A518F" w:rsidRPr="005841FB" w:rsidRDefault="00B83039" w:rsidP="00B83039">
      <w:pPr>
        <w:rPr>
          <w:rFonts w:ascii="Palatino Linotype" w:hAnsi="Palatino Linotype"/>
        </w:rPr>
      </w:pPr>
      <w:r w:rsidRPr="005841FB">
        <w:rPr>
          <w:rFonts w:ascii="Palatino Linotype" w:hAnsi="Palatino Linotype"/>
        </w:rPr>
        <w:t xml:space="preserve">Across all institutions, </w:t>
      </w:r>
      <w:r w:rsidR="007340A8" w:rsidRPr="005841FB">
        <w:rPr>
          <w:rFonts w:ascii="Palatino Linotype" w:hAnsi="Palatino Linotype"/>
        </w:rPr>
        <w:t xml:space="preserve">OER policy issues remain intertwined with ICT, IP/copyright, </w:t>
      </w:r>
      <w:r w:rsidRPr="005841FB">
        <w:rPr>
          <w:rFonts w:ascii="Palatino Linotype" w:hAnsi="Palatino Linotype"/>
        </w:rPr>
        <w:t xml:space="preserve">and human resource (HR) </w:t>
      </w:r>
      <w:r w:rsidR="007340A8" w:rsidRPr="005841FB">
        <w:rPr>
          <w:rFonts w:ascii="Palatino Linotype" w:hAnsi="Palatino Linotype"/>
        </w:rPr>
        <w:t>issues</w:t>
      </w:r>
      <w:r w:rsidRPr="005841FB">
        <w:rPr>
          <w:rFonts w:ascii="Palatino Linotype" w:hAnsi="Palatino Linotype"/>
        </w:rPr>
        <w:t xml:space="preserve">. Possibly the most visible success in the projects to date has been the focus on IP policies, with all institutions acknowledging the importance of having IP policies that cover issues of open licensing. This has often been a catalyst for wider discussions on IP and copyright, as </w:t>
      </w:r>
      <w:r w:rsidR="007A518F" w:rsidRPr="005841FB">
        <w:rPr>
          <w:rFonts w:ascii="Palatino Linotype" w:hAnsi="Palatino Linotype"/>
        </w:rPr>
        <w:t>IP issues are not well understood at most universities and not guided by clear policy frameworks</w:t>
      </w:r>
      <w:r w:rsidRPr="005841FB">
        <w:rPr>
          <w:rFonts w:ascii="Palatino Linotype" w:hAnsi="Palatino Linotype"/>
        </w:rPr>
        <w:t xml:space="preserve">. The latter has been particularly surprising to find at the </w:t>
      </w:r>
      <w:r w:rsidR="007A518F" w:rsidRPr="005841FB">
        <w:rPr>
          <w:rFonts w:ascii="Palatino Linotype" w:hAnsi="Palatino Linotype"/>
        </w:rPr>
        <w:t>ODL institutions</w:t>
      </w:r>
      <w:r w:rsidRPr="005841FB">
        <w:rPr>
          <w:rFonts w:ascii="Palatino Linotype" w:hAnsi="Palatino Linotype"/>
        </w:rPr>
        <w:t xml:space="preserve">, given the centrality of IP in the form of teaching and learning materials to their pedagogical and business models. Nevertheless, policy development and/or review processes are underway at all institutions and largely appear on track to deliver sustained results in the form of adopted policies by the end of the project. The only possible concern to flag in a context in which policies from other institutions are readily accessible online is a slight tendency to rely a little too much on </w:t>
      </w:r>
      <w:r w:rsidR="007A518F" w:rsidRPr="005841FB">
        <w:rPr>
          <w:rFonts w:ascii="Palatino Linotype" w:hAnsi="Palatino Linotype"/>
        </w:rPr>
        <w:t>‘copying’ of policies from elsewhere</w:t>
      </w:r>
      <w:r w:rsidRPr="005841FB">
        <w:rPr>
          <w:rFonts w:ascii="Palatino Linotype" w:hAnsi="Palatino Linotype"/>
        </w:rPr>
        <w:t xml:space="preserve">. Although this has the positive benefit of building on best practices, it sometimes comes at the expense of widespread policy consultation and discussion, </w:t>
      </w:r>
      <w:r w:rsidR="007A518F" w:rsidRPr="005841FB">
        <w:rPr>
          <w:rFonts w:ascii="Palatino Linotype" w:hAnsi="Palatino Linotype"/>
        </w:rPr>
        <w:t xml:space="preserve">which </w:t>
      </w:r>
      <w:r w:rsidRPr="005841FB">
        <w:rPr>
          <w:rFonts w:ascii="Palatino Linotype" w:hAnsi="Palatino Linotype"/>
        </w:rPr>
        <w:t xml:space="preserve">has potential to </w:t>
      </w:r>
      <w:r w:rsidR="007A518F" w:rsidRPr="005841FB">
        <w:rPr>
          <w:rFonts w:ascii="Palatino Linotype" w:hAnsi="Palatino Linotype"/>
        </w:rPr>
        <w:t xml:space="preserve">reduce ownership and effectiveness </w:t>
      </w:r>
      <w:r w:rsidRPr="005841FB">
        <w:rPr>
          <w:rFonts w:ascii="Palatino Linotype" w:hAnsi="Palatino Linotype"/>
        </w:rPr>
        <w:t xml:space="preserve">of policies </w:t>
      </w:r>
      <w:r w:rsidR="007A518F" w:rsidRPr="005841FB">
        <w:rPr>
          <w:rFonts w:ascii="Palatino Linotype" w:hAnsi="Palatino Linotype"/>
        </w:rPr>
        <w:t xml:space="preserve">once </w:t>
      </w:r>
      <w:r w:rsidRPr="005841FB">
        <w:rPr>
          <w:rFonts w:ascii="Palatino Linotype" w:hAnsi="Palatino Linotype"/>
        </w:rPr>
        <w:t xml:space="preserve">they are </w:t>
      </w:r>
      <w:r w:rsidR="007A518F" w:rsidRPr="005841FB">
        <w:rPr>
          <w:rFonts w:ascii="Palatino Linotype" w:hAnsi="Palatino Linotype"/>
        </w:rPr>
        <w:t>approved</w:t>
      </w:r>
      <w:r w:rsidRPr="005841FB">
        <w:rPr>
          <w:rFonts w:ascii="Palatino Linotype" w:hAnsi="Palatino Linotype"/>
        </w:rPr>
        <w:t>.</w:t>
      </w:r>
    </w:p>
    <w:p w14:paraId="11BF5132" w14:textId="77777777" w:rsidR="00B83039" w:rsidRPr="005841FB" w:rsidRDefault="00B83039" w:rsidP="00B83039">
      <w:pPr>
        <w:rPr>
          <w:rFonts w:ascii="Palatino Linotype" w:hAnsi="Palatino Linotype"/>
        </w:rPr>
      </w:pPr>
    </w:p>
    <w:p w14:paraId="739AAD06" w14:textId="77777777" w:rsidR="00B83039" w:rsidRPr="005841FB" w:rsidRDefault="00B83039" w:rsidP="00B83039">
      <w:pPr>
        <w:rPr>
          <w:rFonts w:ascii="Palatino Linotype" w:hAnsi="Palatino Linotype"/>
        </w:rPr>
      </w:pPr>
      <w:r w:rsidRPr="005841FB">
        <w:rPr>
          <w:rFonts w:ascii="Palatino Linotype" w:hAnsi="Palatino Linotype"/>
        </w:rPr>
        <w:t>At all institutions, there is still much discussion about the incentives for academics to participate in OER practices and materials development for their course. This suggests that there is still a misalignment between OER practices and institutional priorities and HR policies. This problem is much bigger than OER, as it reflects the relatively weak status of teaching and learning as a core university function in relation to research and university administration, and it has the effect of people perceiving OER practices as ‘additional work’ rather than as a strategy to achieve their professional objectives more effectively. It also helps to explain why take-up in postgraduate studies has been the biggest research success in exploring OER practices.</w:t>
      </w:r>
    </w:p>
    <w:p w14:paraId="1C079BE0" w14:textId="77777777" w:rsidR="00064AFA" w:rsidRPr="005841FB" w:rsidRDefault="00064AFA" w:rsidP="001A344C">
      <w:pPr>
        <w:pStyle w:val="Heading2"/>
        <w:rPr>
          <w:rFonts w:ascii="Palatino Linotype" w:hAnsi="Palatino Linotype"/>
        </w:rPr>
        <w:sectPr w:rsidR="00064AFA" w:rsidRPr="005841FB" w:rsidSect="007D74D9">
          <w:footerReference w:type="default" r:id="rId9"/>
          <w:footerReference w:type="first" r:id="rId10"/>
          <w:pgSz w:w="11906" w:h="16838"/>
          <w:pgMar w:top="1440" w:right="1440" w:bottom="1440" w:left="1440" w:header="708" w:footer="708" w:gutter="0"/>
          <w:cols w:space="708"/>
          <w:titlePg/>
          <w:docGrid w:linePitch="360"/>
        </w:sectPr>
      </w:pPr>
    </w:p>
    <w:p w14:paraId="0FECB26C" w14:textId="4545A63F" w:rsidR="00D706BE" w:rsidRPr="005841FB" w:rsidRDefault="001A344C" w:rsidP="001A344C">
      <w:pPr>
        <w:pStyle w:val="Heading2"/>
        <w:rPr>
          <w:rFonts w:ascii="Palatino Linotype" w:hAnsi="Palatino Linotype"/>
        </w:rPr>
      </w:pPr>
      <w:r w:rsidRPr="005841FB">
        <w:rPr>
          <w:rFonts w:ascii="Palatino Linotype" w:hAnsi="Palatino Linotype"/>
        </w:rPr>
        <w:lastRenderedPageBreak/>
        <w:t>Conclusion</w:t>
      </w:r>
    </w:p>
    <w:p w14:paraId="506AA27C" w14:textId="4A1FDB17" w:rsidR="00D33AEC" w:rsidRPr="005841FB" w:rsidRDefault="001A344C" w:rsidP="001A344C">
      <w:pPr>
        <w:rPr>
          <w:rFonts w:ascii="Palatino Linotype" w:hAnsi="Palatino Linotype"/>
        </w:rPr>
      </w:pPr>
      <w:r w:rsidRPr="005841FB">
        <w:rPr>
          <w:rFonts w:ascii="Palatino Linotype" w:hAnsi="Palatino Linotype"/>
        </w:rPr>
        <w:t xml:space="preserve">The work done by </w:t>
      </w:r>
      <w:r w:rsidRPr="005841FB">
        <w:rPr>
          <w:rFonts w:ascii="Palatino Linotype" w:hAnsi="Palatino Linotype"/>
          <w:i/>
        </w:rPr>
        <w:t>OER Africa</w:t>
      </w:r>
      <w:r w:rsidRPr="005841FB">
        <w:rPr>
          <w:rFonts w:ascii="Palatino Linotype" w:hAnsi="Palatino Linotype"/>
        </w:rPr>
        <w:t xml:space="preserve"> and its partner uni</w:t>
      </w:r>
      <w:r w:rsidR="00635B28" w:rsidRPr="005841FB">
        <w:rPr>
          <w:rFonts w:ascii="Palatino Linotype" w:hAnsi="Palatino Linotype"/>
        </w:rPr>
        <w:t>versities in the current grant reflects a diverse range of activities and approaches to investigating and institutionalizing those activities. It reflects a growing willingness amongst institutions to engage with the concept of OER and harness OER practices to improve quality, as well as a significant increase in interest in establishing clear IP policies to manage the complex range of issues associated with copyright management that have been introduced by the growth of open licences. However, it also shows that universities still place relatively limited focus on the importance of improving teaching and learning practices relative to other academic activities (particularly research activities and academic administration) and have typically not established a strong culture of improving educational experiences for students through systematic research and investigation</w:t>
      </w:r>
      <w:r w:rsidR="00D33AEC" w:rsidRPr="005841FB">
        <w:rPr>
          <w:rFonts w:ascii="Palatino Linotype" w:hAnsi="Palatino Linotype"/>
        </w:rPr>
        <w:t xml:space="preserve"> – and this remains this case despite growing recognition of the need for more flexible provision such as flipped classrooms, part-time studies, distance education, and online learning, which are all resource-based forms of provision requiring that the cost materials development and renewal becomes a key line item in institutional budgets.</w:t>
      </w:r>
    </w:p>
    <w:p w14:paraId="4D9A7267" w14:textId="77777777" w:rsidR="00D33AEC" w:rsidRPr="005841FB" w:rsidRDefault="00D33AEC" w:rsidP="001A344C">
      <w:pPr>
        <w:rPr>
          <w:rFonts w:ascii="Palatino Linotype" w:hAnsi="Palatino Linotype"/>
        </w:rPr>
      </w:pPr>
    </w:p>
    <w:p w14:paraId="06859ACD" w14:textId="0B091A08" w:rsidR="001A344C" w:rsidRPr="005841FB" w:rsidRDefault="00635B28" w:rsidP="001A344C">
      <w:pPr>
        <w:rPr>
          <w:rFonts w:ascii="Palatino Linotype" w:hAnsi="Palatino Linotype"/>
        </w:rPr>
      </w:pPr>
      <w:r w:rsidRPr="005841FB">
        <w:rPr>
          <w:rFonts w:ascii="Palatino Linotype" w:hAnsi="Palatino Linotype"/>
        </w:rPr>
        <w:t xml:space="preserve">These problems create significant problems for driving effective pedagogical transformation, as they mean that such efforts have to fight against the weight of institutional culture and longstanding traditional practices, rather than operating within an environment in which a culture of improvement is structured into the processes and operations of the institutions. The primary consequence is to slow down the pace of such transformation, while also creating an environment in which pedagogical innovations are systematically </w:t>
      </w:r>
      <w:r w:rsidR="002D5285" w:rsidRPr="005841FB">
        <w:rPr>
          <w:rFonts w:ascii="Palatino Linotype" w:hAnsi="Palatino Linotype"/>
        </w:rPr>
        <w:t>co-opted</w:t>
      </w:r>
      <w:bookmarkStart w:id="0" w:name="_GoBack"/>
      <w:bookmarkEnd w:id="0"/>
      <w:r w:rsidRPr="005841FB">
        <w:rPr>
          <w:rFonts w:ascii="Palatino Linotype" w:hAnsi="Palatino Linotype"/>
        </w:rPr>
        <w:t xml:space="preserve"> into mainstream systems in ways that tend to reinforce traditional educational practices rather than systematically improving them.</w:t>
      </w:r>
    </w:p>
    <w:p w14:paraId="4E905B7A" w14:textId="77777777" w:rsidR="00D706BE" w:rsidRPr="005841FB" w:rsidRDefault="00D706BE" w:rsidP="007A518F">
      <w:pPr>
        <w:rPr>
          <w:rFonts w:ascii="Palatino Linotype" w:hAnsi="Palatino Linotype"/>
        </w:rPr>
      </w:pPr>
    </w:p>
    <w:p w14:paraId="13122938" w14:textId="77777777" w:rsidR="00D706BE" w:rsidRPr="005841FB" w:rsidRDefault="00D706BE" w:rsidP="007A518F">
      <w:pPr>
        <w:rPr>
          <w:rFonts w:ascii="Palatino Linotype" w:hAnsi="Palatino Linotype"/>
        </w:rPr>
      </w:pPr>
    </w:p>
    <w:sectPr w:rsidR="00D706BE" w:rsidRPr="005841FB" w:rsidSect="007D74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4FA12" w14:textId="77777777" w:rsidR="00E2013D" w:rsidRDefault="00E2013D" w:rsidP="007D74D9">
      <w:r>
        <w:separator/>
      </w:r>
    </w:p>
  </w:endnote>
  <w:endnote w:type="continuationSeparator" w:id="0">
    <w:p w14:paraId="7718FA2F" w14:textId="77777777" w:rsidR="00E2013D" w:rsidRDefault="00E2013D" w:rsidP="007D74D9">
      <w:r>
        <w:continuationSeparator/>
      </w:r>
    </w:p>
  </w:endnote>
  <w:endnote w:type="continuationNotice" w:id="1">
    <w:p w14:paraId="60C0261D" w14:textId="77777777" w:rsidR="00E2013D" w:rsidRDefault="00E20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8A40" w14:textId="64127BDF" w:rsidR="004770F1" w:rsidRDefault="004770F1" w:rsidP="007D74D9">
    <w:pPr>
      <w:pStyle w:val="Footer"/>
      <w:jc w:val="center"/>
    </w:pPr>
    <w:r>
      <w:fldChar w:fldCharType="begin"/>
    </w:r>
    <w:r>
      <w:instrText xml:space="preserve"> PAGE   \* MERGEFORMAT </w:instrText>
    </w:r>
    <w:r>
      <w:fldChar w:fldCharType="separate"/>
    </w:r>
    <w:r w:rsidR="002D5285">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9EAF" w14:textId="2970131A" w:rsidR="004770F1" w:rsidRDefault="004770F1" w:rsidP="007D74D9">
    <w:pPr>
      <w:pStyle w:val="Footer"/>
      <w:jc w:val="center"/>
    </w:pPr>
    <w:r>
      <w:fldChar w:fldCharType="begin"/>
    </w:r>
    <w:r>
      <w:instrText xml:space="preserve"> PAGE   \* MERGEFORMAT </w:instrText>
    </w:r>
    <w:r>
      <w:fldChar w:fldCharType="separate"/>
    </w:r>
    <w:r w:rsidR="002D5285">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3C983" w14:textId="77777777" w:rsidR="00E2013D" w:rsidRDefault="00E2013D" w:rsidP="007D74D9">
      <w:r>
        <w:separator/>
      </w:r>
    </w:p>
  </w:footnote>
  <w:footnote w:type="continuationSeparator" w:id="0">
    <w:p w14:paraId="5C1E639B" w14:textId="77777777" w:rsidR="00E2013D" w:rsidRDefault="00E2013D" w:rsidP="007D74D9">
      <w:r>
        <w:continuationSeparator/>
      </w:r>
    </w:p>
  </w:footnote>
  <w:footnote w:type="continuationNotice" w:id="1">
    <w:p w14:paraId="743D89C6" w14:textId="77777777" w:rsidR="00E2013D" w:rsidRDefault="00E2013D"/>
  </w:footnote>
  <w:footnote w:id="2">
    <w:p w14:paraId="6FD9FDBB" w14:textId="77777777" w:rsidR="00724BD8" w:rsidRPr="00CD081E" w:rsidRDefault="00724BD8" w:rsidP="00724BD8">
      <w:pPr>
        <w:pStyle w:val="FootnoteText"/>
      </w:pPr>
      <w:r>
        <w:rPr>
          <w:rStyle w:val="FootnoteReference"/>
        </w:rPr>
        <w:footnoteRef/>
      </w:r>
      <w:r>
        <w:t xml:space="preserve"> Pain, R. et al. </w:t>
      </w:r>
      <w:r w:rsidRPr="00B72ECA">
        <w:t>Participatory Action Participatory Action Research Toolkit:</w:t>
      </w:r>
      <w:r>
        <w:t xml:space="preserve"> </w:t>
      </w:r>
      <w:r w:rsidRPr="00B72ECA">
        <w:t>An Introduction to Using PAR as an Approach</w:t>
      </w:r>
      <w:r>
        <w:t xml:space="preserve"> </w:t>
      </w:r>
      <w:r w:rsidRPr="00B72ECA">
        <w:t>to Learning, Research and Action</w:t>
      </w:r>
      <w:r>
        <w:t>. Durham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85409"/>
    <w:multiLevelType w:val="hybridMultilevel"/>
    <w:tmpl w:val="E69204FA"/>
    <w:lvl w:ilvl="0" w:tplc="7CD2E580">
      <w:numFmt w:val="bullet"/>
      <w:lvlText w:val="–"/>
      <w:lvlJc w:val="left"/>
      <w:pPr>
        <w:ind w:left="1080" w:hanging="72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1B2D01"/>
    <w:multiLevelType w:val="hybridMultilevel"/>
    <w:tmpl w:val="64A6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E5F6A"/>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2644B8"/>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23586"/>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559F0C8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46403C"/>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0777C1"/>
    <w:multiLevelType w:val="hybridMultilevel"/>
    <w:tmpl w:val="440E4E6C"/>
    <w:lvl w:ilvl="0" w:tplc="129A1C68">
      <w:numFmt w:val="bullet"/>
      <w:lvlText w:val="–"/>
      <w:lvlJc w:val="left"/>
      <w:pPr>
        <w:ind w:left="1080" w:hanging="72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BB6335"/>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E57B1E"/>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EF86D08"/>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78F0581E"/>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7FD860E4"/>
    <w:multiLevelType w:val="hybridMultilevel"/>
    <w:tmpl w:val="AC665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9"/>
  </w:num>
  <w:num w:numId="5">
    <w:abstractNumId w:val="14"/>
  </w:num>
  <w:num w:numId="6">
    <w:abstractNumId w:val="5"/>
  </w:num>
  <w:num w:numId="7">
    <w:abstractNumId w:val="15"/>
  </w:num>
  <w:num w:numId="8">
    <w:abstractNumId w:val="11"/>
  </w:num>
  <w:num w:numId="9">
    <w:abstractNumId w:val="1"/>
  </w:num>
  <w:num w:numId="10">
    <w:abstractNumId w:val="6"/>
  </w:num>
  <w:num w:numId="11">
    <w:abstractNumId w:val="12"/>
  </w:num>
  <w:num w:numId="12">
    <w:abstractNumId w:val="2"/>
  </w:num>
  <w:num w:numId="13">
    <w:abstractNumId w:val="3"/>
  </w:num>
  <w:num w:numId="14">
    <w:abstractNumId w:val="13"/>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2D"/>
    <w:rsid w:val="00001516"/>
    <w:rsid w:val="00003571"/>
    <w:rsid w:val="00010B22"/>
    <w:rsid w:val="00011E6A"/>
    <w:rsid w:val="00013F8D"/>
    <w:rsid w:val="00015FEB"/>
    <w:rsid w:val="00016865"/>
    <w:rsid w:val="000205FB"/>
    <w:rsid w:val="0002278D"/>
    <w:rsid w:val="00022B9F"/>
    <w:rsid w:val="00022C93"/>
    <w:rsid w:val="00023BCE"/>
    <w:rsid w:val="00030876"/>
    <w:rsid w:val="0003119A"/>
    <w:rsid w:val="00032189"/>
    <w:rsid w:val="00033B58"/>
    <w:rsid w:val="00036ED0"/>
    <w:rsid w:val="000404DE"/>
    <w:rsid w:val="00040635"/>
    <w:rsid w:val="00041C61"/>
    <w:rsid w:val="000429C9"/>
    <w:rsid w:val="000437BD"/>
    <w:rsid w:val="00043971"/>
    <w:rsid w:val="00050C90"/>
    <w:rsid w:val="00052D74"/>
    <w:rsid w:val="0005423F"/>
    <w:rsid w:val="000544C9"/>
    <w:rsid w:val="00055924"/>
    <w:rsid w:val="00060368"/>
    <w:rsid w:val="00061B38"/>
    <w:rsid w:val="00064720"/>
    <w:rsid w:val="00064AFA"/>
    <w:rsid w:val="00064B1F"/>
    <w:rsid w:val="00065F77"/>
    <w:rsid w:val="00070461"/>
    <w:rsid w:val="00070E8D"/>
    <w:rsid w:val="00071DA7"/>
    <w:rsid w:val="00073208"/>
    <w:rsid w:val="00077ED9"/>
    <w:rsid w:val="00082C97"/>
    <w:rsid w:val="00083B02"/>
    <w:rsid w:val="0008463A"/>
    <w:rsid w:val="00084BD9"/>
    <w:rsid w:val="0008517D"/>
    <w:rsid w:val="0009016B"/>
    <w:rsid w:val="00090C04"/>
    <w:rsid w:val="00092477"/>
    <w:rsid w:val="00094110"/>
    <w:rsid w:val="000952ED"/>
    <w:rsid w:val="0009587D"/>
    <w:rsid w:val="000970CF"/>
    <w:rsid w:val="000A03C4"/>
    <w:rsid w:val="000A141F"/>
    <w:rsid w:val="000A2107"/>
    <w:rsid w:val="000A4F96"/>
    <w:rsid w:val="000B08A4"/>
    <w:rsid w:val="000B0FC7"/>
    <w:rsid w:val="000B19DC"/>
    <w:rsid w:val="000B47D1"/>
    <w:rsid w:val="000B634D"/>
    <w:rsid w:val="000B69F0"/>
    <w:rsid w:val="000B6DBB"/>
    <w:rsid w:val="000B7159"/>
    <w:rsid w:val="000B78B2"/>
    <w:rsid w:val="000B7CAD"/>
    <w:rsid w:val="000C013E"/>
    <w:rsid w:val="000C43E5"/>
    <w:rsid w:val="000C45DB"/>
    <w:rsid w:val="000C7905"/>
    <w:rsid w:val="000D30CB"/>
    <w:rsid w:val="000D3E18"/>
    <w:rsid w:val="000D48B2"/>
    <w:rsid w:val="000E2367"/>
    <w:rsid w:val="000E46C2"/>
    <w:rsid w:val="000E53CE"/>
    <w:rsid w:val="000E5B60"/>
    <w:rsid w:val="000E6BAA"/>
    <w:rsid w:val="000E7B53"/>
    <w:rsid w:val="000E7DC3"/>
    <w:rsid w:val="000F0941"/>
    <w:rsid w:val="000F0B55"/>
    <w:rsid w:val="000F133F"/>
    <w:rsid w:val="000F1B25"/>
    <w:rsid w:val="000F3590"/>
    <w:rsid w:val="000F5F1C"/>
    <w:rsid w:val="000F7D0A"/>
    <w:rsid w:val="001008E0"/>
    <w:rsid w:val="00102E4E"/>
    <w:rsid w:val="0010485A"/>
    <w:rsid w:val="00104BDC"/>
    <w:rsid w:val="00104D09"/>
    <w:rsid w:val="00105AC7"/>
    <w:rsid w:val="00111216"/>
    <w:rsid w:val="00117965"/>
    <w:rsid w:val="0012675F"/>
    <w:rsid w:val="00126DB1"/>
    <w:rsid w:val="001335E1"/>
    <w:rsid w:val="00135A05"/>
    <w:rsid w:val="00137F10"/>
    <w:rsid w:val="00140401"/>
    <w:rsid w:val="001413FA"/>
    <w:rsid w:val="001429D8"/>
    <w:rsid w:val="00142C53"/>
    <w:rsid w:val="00143BD4"/>
    <w:rsid w:val="00147208"/>
    <w:rsid w:val="00147CC5"/>
    <w:rsid w:val="001517F7"/>
    <w:rsid w:val="00155759"/>
    <w:rsid w:val="00160C66"/>
    <w:rsid w:val="00160CBB"/>
    <w:rsid w:val="001619C1"/>
    <w:rsid w:val="00162D31"/>
    <w:rsid w:val="00163D88"/>
    <w:rsid w:val="00166727"/>
    <w:rsid w:val="0017019C"/>
    <w:rsid w:val="00170EE6"/>
    <w:rsid w:val="00171240"/>
    <w:rsid w:val="00172830"/>
    <w:rsid w:val="0017341A"/>
    <w:rsid w:val="0017364E"/>
    <w:rsid w:val="00173F49"/>
    <w:rsid w:val="00175A80"/>
    <w:rsid w:val="00175FC9"/>
    <w:rsid w:val="00180603"/>
    <w:rsid w:val="00180A10"/>
    <w:rsid w:val="001810F5"/>
    <w:rsid w:val="001818C6"/>
    <w:rsid w:val="001859B7"/>
    <w:rsid w:val="001907E9"/>
    <w:rsid w:val="00190E3B"/>
    <w:rsid w:val="00193BDC"/>
    <w:rsid w:val="00195D19"/>
    <w:rsid w:val="001975A2"/>
    <w:rsid w:val="00197836"/>
    <w:rsid w:val="001A05AE"/>
    <w:rsid w:val="001A1D53"/>
    <w:rsid w:val="001A308A"/>
    <w:rsid w:val="001A344C"/>
    <w:rsid w:val="001A3FF9"/>
    <w:rsid w:val="001A4895"/>
    <w:rsid w:val="001A4A96"/>
    <w:rsid w:val="001A737F"/>
    <w:rsid w:val="001B0F4F"/>
    <w:rsid w:val="001B2E59"/>
    <w:rsid w:val="001B3AE4"/>
    <w:rsid w:val="001C2FF2"/>
    <w:rsid w:val="001D0427"/>
    <w:rsid w:val="001D42B1"/>
    <w:rsid w:val="001D4BD9"/>
    <w:rsid w:val="001D6B53"/>
    <w:rsid w:val="001D7171"/>
    <w:rsid w:val="001E2313"/>
    <w:rsid w:val="001E2F6C"/>
    <w:rsid w:val="001E3D92"/>
    <w:rsid w:val="001E5308"/>
    <w:rsid w:val="001E689E"/>
    <w:rsid w:val="001F0677"/>
    <w:rsid w:val="001F2098"/>
    <w:rsid w:val="001F43A7"/>
    <w:rsid w:val="001F4DCC"/>
    <w:rsid w:val="002036D0"/>
    <w:rsid w:val="00203700"/>
    <w:rsid w:val="0020550D"/>
    <w:rsid w:val="0020677F"/>
    <w:rsid w:val="00210620"/>
    <w:rsid w:val="00210765"/>
    <w:rsid w:val="0021082D"/>
    <w:rsid w:val="002131E6"/>
    <w:rsid w:val="00213D60"/>
    <w:rsid w:val="0021641E"/>
    <w:rsid w:val="00217976"/>
    <w:rsid w:val="002202D0"/>
    <w:rsid w:val="00224746"/>
    <w:rsid w:val="002253DF"/>
    <w:rsid w:val="00226668"/>
    <w:rsid w:val="00230EBC"/>
    <w:rsid w:val="002313AD"/>
    <w:rsid w:val="002324DB"/>
    <w:rsid w:val="00233782"/>
    <w:rsid w:val="002342DE"/>
    <w:rsid w:val="0023461D"/>
    <w:rsid w:val="002360BD"/>
    <w:rsid w:val="002370C9"/>
    <w:rsid w:val="0024044A"/>
    <w:rsid w:val="00242D32"/>
    <w:rsid w:val="00243B26"/>
    <w:rsid w:val="00243F05"/>
    <w:rsid w:val="002445B3"/>
    <w:rsid w:val="002476EB"/>
    <w:rsid w:val="00247786"/>
    <w:rsid w:val="0025116B"/>
    <w:rsid w:val="0025155A"/>
    <w:rsid w:val="00252347"/>
    <w:rsid w:val="002574EC"/>
    <w:rsid w:val="002575AE"/>
    <w:rsid w:val="00261790"/>
    <w:rsid w:val="00261D02"/>
    <w:rsid w:val="002623BE"/>
    <w:rsid w:val="00264E4F"/>
    <w:rsid w:val="002651DB"/>
    <w:rsid w:val="002652CA"/>
    <w:rsid w:val="00265C87"/>
    <w:rsid w:val="0026605F"/>
    <w:rsid w:val="002730C1"/>
    <w:rsid w:val="002742AF"/>
    <w:rsid w:val="002771E6"/>
    <w:rsid w:val="00277EE6"/>
    <w:rsid w:val="002815D3"/>
    <w:rsid w:val="00281C1E"/>
    <w:rsid w:val="00284066"/>
    <w:rsid w:val="00285260"/>
    <w:rsid w:val="00285ADD"/>
    <w:rsid w:val="00285FC2"/>
    <w:rsid w:val="00287CE5"/>
    <w:rsid w:val="0029065A"/>
    <w:rsid w:val="00290EA8"/>
    <w:rsid w:val="00291206"/>
    <w:rsid w:val="00292FB7"/>
    <w:rsid w:val="002959EF"/>
    <w:rsid w:val="00295B85"/>
    <w:rsid w:val="00296999"/>
    <w:rsid w:val="002A15F0"/>
    <w:rsid w:val="002A5394"/>
    <w:rsid w:val="002A54D9"/>
    <w:rsid w:val="002A7F95"/>
    <w:rsid w:val="002B536F"/>
    <w:rsid w:val="002B53BE"/>
    <w:rsid w:val="002B5CA3"/>
    <w:rsid w:val="002B6BE3"/>
    <w:rsid w:val="002B6EEA"/>
    <w:rsid w:val="002C0005"/>
    <w:rsid w:val="002C2A23"/>
    <w:rsid w:val="002C4319"/>
    <w:rsid w:val="002C5F2D"/>
    <w:rsid w:val="002C6FDF"/>
    <w:rsid w:val="002D0D45"/>
    <w:rsid w:val="002D2200"/>
    <w:rsid w:val="002D29D0"/>
    <w:rsid w:val="002D51FB"/>
    <w:rsid w:val="002D5285"/>
    <w:rsid w:val="002D7E8B"/>
    <w:rsid w:val="002E179C"/>
    <w:rsid w:val="002E1F99"/>
    <w:rsid w:val="002E3D7E"/>
    <w:rsid w:val="002E3DD9"/>
    <w:rsid w:val="002E4341"/>
    <w:rsid w:val="002E52B0"/>
    <w:rsid w:val="002F0D2F"/>
    <w:rsid w:val="002F0E1C"/>
    <w:rsid w:val="002F1E81"/>
    <w:rsid w:val="002F5571"/>
    <w:rsid w:val="002F7704"/>
    <w:rsid w:val="00301A96"/>
    <w:rsid w:val="003052B0"/>
    <w:rsid w:val="00306D71"/>
    <w:rsid w:val="0031025A"/>
    <w:rsid w:val="00310CE8"/>
    <w:rsid w:val="003115BD"/>
    <w:rsid w:val="003152C6"/>
    <w:rsid w:val="00315E47"/>
    <w:rsid w:val="00322582"/>
    <w:rsid w:val="00323F01"/>
    <w:rsid w:val="00324A33"/>
    <w:rsid w:val="003268A9"/>
    <w:rsid w:val="00330884"/>
    <w:rsid w:val="00334E8F"/>
    <w:rsid w:val="003367A5"/>
    <w:rsid w:val="0034133E"/>
    <w:rsid w:val="00343B0A"/>
    <w:rsid w:val="00345BBF"/>
    <w:rsid w:val="00345E3C"/>
    <w:rsid w:val="0035097F"/>
    <w:rsid w:val="00351D15"/>
    <w:rsid w:val="00353348"/>
    <w:rsid w:val="00353622"/>
    <w:rsid w:val="003562FA"/>
    <w:rsid w:val="00357F3F"/>
    <w:rsid w:val="00360173"/>
    <w:rsid w:val="00360220"/>
    <w:rsid w:val="00360B81"/>
    <w:rsid w:val="00363D6A"/>
    <w:rsid w:val="003655D4"/>
    <w:rsid w:val="00365CF8"/>
    <w:rsid w:val="003663C7"/>
    <w:rsid w:val="003700F7"/>
    <w:rsid w:val="00370234"/>
    <w:rsid w:val="0037522E"/>
    <w:rsid w:val="003766DA"/>
    <w:rsid w:val="0037685E"/>
    <w:rsid w:val="00376910"/>
    <w:rsid w:val="00383D8F"/>
    <w:rsid w:val="00386E46"/>
    <w:rsid w:val="003913D7"/>
    <w:rsid w:val="00391FB5"/>
    <w:rsid w:val="003A0AED"/>
    <w:rsid w:val="003A1D99"/>
    <w:rsid w:val="003A6066"/>
    <w:rsid w:val="003A72F2"/>
    <w:rsid w:val="003A7779"/>
    <w:rsid w:val="003B0ACD"/>
    <w:rsid w:val="003B35C6"/>
    <w:rsid w:val="003B4328"/>
    <w:rsid w:val="003B442E"/>
    <w:rsid w:val="003C1DC5"/>
    <w:rsid w:val="003C2079"/>
    <w:rsid w:val="003C299B"/>
    <w:rsid w:val="003C3B48"/>
    <w:rsid w:val="003C4B65"/>
    <w:rsid w:val="003C78A5"/>
    <w:rsid w:val="003D41F6"/>
    <w:rsid w:val="003D5BD0"/>
    <w:rsid w:val="003D5E42"/>
    <w:rsid w:val="003D600F"/>
    <w:rsid w:val="003D60AF"/>
    <w:rsid w:val="003E02C5"/>
    <w:rsid w:val="003E2479"/>
    <w:rsid w:val="003E3170"/>
    <w:rsid w:val="003E4279"/>
    <w:rsid w:val="003E50D7"/>
    <w:rsid w:val="003E6C2E"/>
    <w:rsid w:val="003F1270"/>
    <w:rsid w:val="003F59ED"/>
    <w:rsid w:val="003F675C"/>
    <w:rsid w:val="003F7093"/>
    <w:rsid w:val="003F72C2"/>
    <w:rsid w:val="00401979"/>
    <w:rsid w:val="00401FFE"/>
    <w:rsid w:val="00404441"/>
    <w:rsid w:val="00405DAB"/>
    <w:rsid w:val="00410412"/>
    <w:rsid w:val="00410BB2"/>
    <w:rsid w:val="00410D40"/>
    <w:rsid w:val="00410D5F"/>
    <w:rsid w:val="00412398"/>
    <w:rsid w:val="00414D41"/>
    <w:rsid w:val="0042081B"/>
    <w:rsid w:val="004215FE"/>
    <w:rsid w:val="00422CAF"/>
    <w:rsid w:val="00423344"/>
    <w:rsid w:val="00423AA3"/>
    <w:rsid w:val="00423FD5"/>
    <w:rsid w:val="00424056"/>
    <w:rsid w:val="004278C3"/>
    <w:rsid w:val="00431F61"/>
    <w:rsid w:val="00433574"/>
    <w:rsid w:val="00434BA4"/>
    <w:rsid w:val="00436074"/>
    <w:rsid w:val="00437955"/>
    <w:rsid w:val="00440304"/>
    <w:rsid w:val="004406CD"/>
    <w:rsid w:val="00440A25"/>
    <w:rsid w:val="00441E6D"/>
    <w:rsid w:val="00443D4B"/>
    <w:rsid w:val="00445683"/>
    <w:rsid w:val="00446852"/>
    <w:rsid w:val="004600CB"/>
    <w:rsid w:val="0046116E"/>
    <w:rsid w:val="004618B7"/>
    <w:rsid w:val="0046308E"/>
    <w:rsid w:val="0046333C"/>
    <w:rsid w:val="004636DD"/>
    <w:rsid w:val="00466DD4"/>
    <w:rsid w:val="0046733E"/>
    <w:rsid w:val="00467F57"/>
    <w:rsid w:val="0047025A"/>
    <w:rsid w:val="00471177"/>
    <w:rsid w:val="004728AE"/>
    <w:rsid w:val="004742D5"/>
    <w:rsid w:val="00474D47"/>
    <w:rsid w:val="00475EEB"/>
    <w:rsid w:val="00476359"/>
    <w:rsid w:val="004770F1"/>
    <w:rsid w:val="0047760D"/>
    <w:rsid w:val="00477770"/>
    <w:rsid w:val="00480F67"/>
    <w:rsid w:val="00485FD2"/>
    <w:rsid w:val="00486EAF"/>
    <w:rsid w:val="004902CB"/>
    <w:rsid w:val="004922F2"/>
    <w:rsid w:val="004930FE"/>
    <w:rsid w:val="0049425F"/>
    <w:rsid w:val="004A1A9E"/>
    <w:rsid w:val="004A2DB6"/>
    <w:rsid w:val="004A2E67"/>
    <w:rsid w:val="004A4751"/>
    <w:rsid w:val="004A4FD1"/>
    <w:rsid w:val="004A67D8"/>
    <w:rsid w:val="004B14B0"/>
    <w:rsid w:val="004B220E"/>
    <w:rsid w:val="004B323C"/>
    <w:rsid w:val="004B43A0"/>
    <w:rsid w:val="004C03FF"/>
    <w:rsid w:val="004C1A4E"/>
    <w:rsid w:val="004C6899"/>
    <w:rsid w:val="004C74A4"/>
    <w:rsid w:val="004D12FB"/>
    <w:rsid w:val="004D17BA"/>
    <w:rsid w:val="004D1A3F"/>
    <w:rsid w:val="004D3B39"/>
    <w:rsid w:val="004D59AD"/>
    <w:rsid w:val="004D706D"/>
    <w:rsid w:val="004E373B"/>
    <w:rsid w:val="004E4710"/>
    <w:rsid w:val="004E5D64"/>
    <w:rsid w:val="004F067C"/>
    <w:rsid w:val="004F1345"/>
    <w:rsid w:val="004F4A07"/>
    <w:rsid w:val="004F5602"/>
    <w:rsid w:val="004F5C6A"/>
    <w:rsid w:val="004F6638"/>
    <w:rsid w:val="00500F44"/>
    <w:rsid w:val="00501DEF"/>
    <w:rsid w:val="00504BD3"/>
    <w:rsid w:val="00513D05"/>
    <w:rsid w:val="005141F2"/>
    <w:rsid w:val="005161B6"/>
    <w:rsid w:val="00521D4F"/>
    <w:rsid w:val="0052628A"/>
    <w:rsid w:val="00530DB9"/>
    <w:rsid w:val="00531AEE"/>
    <w:rsid w:val="005328A0"/>
    <w:rsid w:val="00532C92"/>
    <w:rsid w:val="00533962"/>
    <w:rsid w:val="00536B38"/>
    <w:rsid w:val="00537CE0"/>
    <w:rsid w:val="0054185C"/>
    <w:rsid w:val="00541B49"/>
    <w:rsid w:val="00541E57"/>
    <w:rsid w:val="005432D3"/>
    <w:rsid w:val="00545085"/>
    <w:rsid w:val="005471D7"/>
    <w:rsid w:val="0055191F"/>
    <w:rsid w:val="0055722A"/>
    <w:rsid w:val="00561BF5"/>
    <w:rsid w:val="00563266"/>
    <w:rsid w:val="00570F7F"/>
    <w:rsid w:val="00573F54"/>
    <w:rsid w:val="00575027"/>
    <w:rsid w:val="005773C2"/>
    <w:rsid w:val="005824D1"/>
    <w:rsid w:val="005829CA"/>
    <w:rsid w:val="005834EC"/>
    <w:rsid w:val="0058378F"/>
    <w:rsid w:val="005841FB"/>
    <w:rsid w:val="00584C5A"/>
    <w:rsid w:val="00585E88"/>
    <w:rsid w:val="00585F49"/>
    <w:rsid w:val="00586969"/>
    <w:rsid w:val="00587E72"/>
    <w:rsid w:val="005904AD"/>
    <w:rsid w:val="005A4D44"/>
    <w:rsid w:val="005A7E89"/>
    <w:rsid w:val="005A7FB8"/>
    <w:rsid w:val="005B3ED3"/>
    <w:rsid w:val="005B4313"/>
    <w:rsid w:val="005B4821"/>
    <w:rsid w:val="005B4C0F"/>
    <w:rsid w:val="005B501E"/>
    <w:rsid w:val="005B652D"/>
    <w:rsid w:val="005B6E8B"/>
    <w:rsid w:val="005C3683"/>
    <w:rsid w:val="005D3FAA"/>
    <w:rsid w:val="005D44E0"/>
    <w:rsid w:val="005D53D8"/>
    <w:rsid w:val="005D5432"/>
    <w:rsid w:val="005D5BF2"/>
    <w:rsid w:val="005E153B"/>
    <w:rsid w:val="005E1A89"/>
    <w:rsid w:val="005E26C2"/>
    <w:rsid w:val="005E2BC3"/>
    <w:rsid w:val="005F0A5B"/>
    <w:rsid w:val="005F1CBB"/>
    <w:rsid w:val="005F2334"/>
    <w:rsid w:val="005F55C0"/>
    <w:rsid w:val="00603660"/>
    <w:rsid w:val="006037F2"/>
    <w:rsid w:val="006070D6"/>
    <w:rsid w:val="0060773E"/>
    <w:rsid w:val="00612FD2"/>
    <w:rsid w:val="00617C8C"/>
    <w:rsid w:val="006216E8"/>
    <w:rsid w:val="0062263B"/>
    <w:rsid w:val="006234C0"/>
    <w:rsid w:val="0062750F"/>
    <w:rsid w:val="0063234D"/>
    <w:rsid w:val="006329CF"/>
    <w:rsid w:val="00635647"/>
    <w:rsid w:val="00635882"/>
    <w:rsid w:val="00635B28"/>
    <w:rsid w:val="00637625"/>
    <w:rsid w:val="006434D8"/>
    <w:rsid w:val="0064713C"/>
    <w:rsid w:val="00647732"/>
    <w:rsid w:val="006510AA"/>
    <w:rsid w:val="006519C0"/>
    <w:rsid w:val="006535FF"/>
    <w:rsid w:val="0065452C"/>
    <w:rsid w:val="00655942"/>
    <w:rsid w:val="0066095F"/>
    <w:rsid w:val="006623B0"/>
    <w:rsid w:val="006638DA"/>
    <w:rsid w:val="00664055"/>
    <w:rsid w:val="006669C6"/>
    <w:rsid w:val="00667987"/>
    <w:rsid w:val="00667C56"/>
    <w:rsid w:val="00673971"/>
    <w:rsid w:val="00676316"/>
    <w:rsid w:val="00691448"/>
    <w:rsid w:val="00691799"/>
    <w:rsid w:val="00691FD1"/>
    <w:rsid w:val="006963C2"/>
    <w:rsid w:val="00696B64"/>
    <w:rsid w:val="00696CA5"/>
    <w:rsid w:val="00697311"/>
    <w:rsid w:val="00697944"/>
    <w:rsid w:val="006A0463"/>
    <w:rsid w:val="006A1F11"/>
    <w:rsid w:val="006A6526"/>
    <w:rsid w:val="006A71AA"/>
    <w:rsid w:val="006A737E"/>
    <w:rsid w:val="006A7DE7"/>
    <w:rsid w:val="006B0D0B"/>
    <w:rsid w:val="006B36D6"/>
    <w:rsid w:val="006B38D1"/>
    <w:rsid w:val="006B3F6A"/>
    <w:rsid w:val="006B5BE1"/>
    <w:rsid w:val="006C48A3"/>
    <w:rsid w:val="006C48B1"/>
    <w:rsid w:val="006C4DA2"/>
    <w:rsid w:val="006C5BF0"/>
    <w:rsid w:val="006C5E9F"/>
    <w:rsid w:val="006C715C"/>
    <w:rsid w:val="006C7A5E"/>
    <w:rsid w:val="006C7F49"/>
    <w:rsid w:val="006D6573"/>
    <w:rsid w:val="006E047A"/>
    <w:rsid w:val="006E05CE"/>
    <w:rsid w:val="006E6EDE"/>
    <w:rsid w:val="006E719C"/>
    <w:rsid w:val="006E7513"/>
    <w:rsid w:val="006E7D3F"/>
    <w:rsid w:val="006F0A12"/>
    <w:rsid w:val="006F0E73"/>
    <w:rsid w:val="006F1565"/>
    <w:rsid w:val="006F26AA"/>
    <w:rsid w:val="006F5B34"/>
    <w:rsid w:val="006F5E54"/>
    <w:rsid w:val="00703C5E"/>
    <w:rsid w:val="00704212"/>
    <w:rsid w:val="00706E3C"/>
    <w:rsid w:val="00710B51"/>
    <w:rsid w:val="007123F5"/>
    <w:rsid w:val="00721974"/>
    <w:rsid w:val="00724BD8"/>
    <w:rsid w:val="00727BF8"/>
    <w:rsid w:val="00730548"/>
    <w:rsid w:val="00731696"/>
    <w:rsid w:val="007340A8"/>
    <w:rsid w:val="00735226"/>
    <w:rsid w:val="00735CF0"/>
    <w:rsid w:val="0073663D"/>
    <w:rsid w:val="00742862"/>
    <w:rsid w:val="00742CD0"/>
    <w:rsid w:val="00743862"/>
    <w:rsid w:val="0074401F"/>
    <w:rsid w:val="00746398"/>
    <w:rsid w:val="00750929"/>
    <w:rsid w:val="00750945"/>
    <w:rsid w:val="00750E67"/>
    <w:rsid w:val="007523B6"/>
    <w:rsid w:val="00753B2E"/>
    <w:rsid w:val="007540E5"/>
    <w:rsid w:val="00754102"/>
    <w:rsid w:val="00757CF0"/>
    <w:rsid w:val="00761A07"/>
    <w:rsid w:val="00763BE4"/>
    <w:rsid w:val="0076400F"/>
    <w:rsid w:val="00766A48"/>
    <w:rsid w:val="0077073E"/>
    <w:rsid w:val="007713E5"/>
    <w:rsid w:val="00773AE9"/>
    <w:rsid w:val="007752A9"/>
    <w:rsid w:val="007764B2"/>
    <w:rsid w:val="007815A6"/>
    <w:rsid w:val="007842CB"/>
    <w:rsid w:val="00784CBF"/>
    <w:rsid w:val="00793D5D"/>
    <w:rsid w:val="00794F40"/>
    <w:rsid w:val="00795340"/>
    <w:rsid w:val="00795371"/>
    <w:rsid w:val="007A277B"/>
    <w:rsid w:val="007A4223"/>
    <w:rsid w:val="007A518F"/>
    <w:rsid w:val="007B2E98"/>
    <w:rsid w:val="007B431A"/>
    <w:rsid w:val="007B53AC"/>
    <w:rsid w:val="007B5E84"/>
    <w:rsid w:val="007B6731"/>
    <w:rsid w:val="007B708E"/>
    <w:rsid w:val="007B7A4A"/>
    <w:rsid w:val="007B7ADC"/>
    <w:rsid w:val="007C0D5C"/>
    <w:rsid w:val="007C1367"/>
    <w:rsid w:val="007C245C"/>
    <w:rsid w:val="007C4BB0"/>
    <w:rsid w:val="007C5F71"/>
    <w:rsid w:val="007C6CDB"/>
    <w:rsid w:val="007C7A4A"/>
    <w:rsid w:val="007D0560"/>
    <w:rsid w:val="007D0C45"/>
    <w:rsid w:val="007D147F"/>
    <w:rsid w:val="007D18D3"/>
    <w:rsid w:val="007D33E9"/>
    <w:rsid w:val="007D7327"/>
    <w:rsid w:val="007D74D9"/>
    <w:rsid w:val="007D7826"/>
    <w:rsid w:val="007E08C7"/>
    <w:rsid w:val="007E1C87"/>
    <w:rsid w:val="007E300B"/>
    <w:rsid w:val="007E5900"/>
    <w:rsid w:val="007E6D2F"/>
    <w:rsid w:val="007E7185"/>
    <w:rsid w:val="007E7B2F"/>
    <w:rsid w:val="007F0E68"/>
    <w:rsid w:val="007F0EA2"/>
    <w:rsid w:val="007F0F35"/>
    <w:rsid w:val="007F2637"/>
    <w:rsid w:val="007F2FBE"/>
    <w:rsid w:val="007F31DD"/>
    <w:rsid w:val="007F3BA1"/>
    <w:rsid w:val="007F4DB8"/>
    <w:rsid w:val="008009CD"/>
    <w:rsid w:val="00803604"/>
    <w:rsid w:val="008039DF"/>
    <w:rsid w:val="00804896"/>
    <w:rsid w:val="00804CE6"/>
    <w:rsid w:val="00806454"/>
    <w:rsid w:val="00806A19"/>
    <w:rsid w:val="008070BF"/>
    <w:rsid w:val="0081143D"/>
    <w:rsid w:val="00811499"/>
    <w:rsid w:val="00811EE6"/>
    <w:rsid w:val="00812E3B"/>
    <w:rsid w:val="00813224"/>
    <w:rsid w:val="008150DA"/>
    <w:rsid w:val="0082133D"/>
    <w:rsid w:val="00823906"/>
    <w:rsid w:val="00825ABA"/>
    <w:rsid w:val="00827BA1"/>
    <w:rsid w:val="008338F3"/>
    <w:rsid w:val="00834C63"/>
    <w:rsid w:val="0083542D"/>
    <w:rsid w:val="00837322"/>
    <w:rsid w:val="00837C24"/>
    <w:rsid w:val="0084164C"/>
    <w:rsid w:val="00842ABE"/>
    <w:rsid w:val="00842FF3"/>
    <w:rsid w:val="00843F00"/>
    <w:rsid w:val="00845435"/>
    <w:rsid w:val="008523F8"/>
    <w:rsid w:val="00856D3A"/>
    <w:rsid w:val="00857109"/>
    <w:rsid w:val="00860041"/>
    <w:rsid w:val="0086693C"/>
    <w:rsid w:val="008672FC"/>
    <w:rsid w:val="008674D5"/>
    <w:rsid w:val="00874E92"/>
    <w:rsid w:val="00876AE8"/>
    <w:rsid w:val="00881AEC"/>
    <w:rsid w:val="00883952"/>
    <w:rsid w:val="0088432B"/>
    <w:rsid w:val="00884358"/>
    <w:rsid w:val="008854AD"/>
    <w:rsid w:val="008910B0"/>
    <w:rsid w:val="00892E9B"/>
    <w:rsid w:val="008949FE"/>
    <w:rsid w:val="00895B24"/>
    <w:rsid w:val="008A042B"/>
    <w:rsid w:val="008A0A6B"/>
    <w:rsid w:val="008A19EE"/>
    <w:rsid w:val="008A2A30"/>
    <w:rsid w:val="008A4829"/>
    <w:rsid w:val="008A68FA"/>
    <w:rsid w:val="008B44F2"/>
    <w:rsid w:val="008B64A5"/>
    <w:rsid w:val="008B6E7C"/>
    <w:rsid w:val="008C1193"/>
    <w:rsid w:val="008C1F0E"/>
    <w:rsid w:val="008C6C02"/>
    <w:rsid w:val="008D2935"/>
    <w:rsid w:val="008D66FF"/>
    <w:rsid w:val="008E357E"/>
    <w:rsid w:val="008E64F7"/>
    <w:rsid w:val="008E6D15"/>
    <w:rsid w:val="008E7405"/>
    <w:rsid w:val="008F4FDF"/>
    <w:rsid w:val="008F5484"/>
    <w:rsid w:val="008F569F"/>
    <w:rsid w:val="008F5F1B"/>
    <w:rsid w:val="00902D6E"/>
    <w:rsid w:val="009037CF"/>
    <w:rsid w:val="00905BC4"/>
    <w:rsid w:val="009077D9"/>
    <w:rsid w:val="00907D93"/>
    <w:rsid w:val="00913D8A"/>
    <w:rsid w:val="00915C46"/>
    <w:rsid w:val="00920837"/>
    <w:rsid w:val="00925849"/>
    <w:rsid w:val="00926359"/>
    <w:rsid w:val="00927914"/>
    <w:rsid w:val="00927F1E"/>
    <w:rsid w:val="00930356"/>
    <w:rsid w:val="009305E1"/>
    <w:rsid w:val="0093129A"/>
    <w:rsid w:val="00931316"/>
    <w:rsid w:val="009318F2"/>
    <w:rsid w:val="009320FD"/>
    <w:rsid w:val="0093472B"/>
    <w:rsid w:val="00934FA9"/>
    <w:rsid w:val="00936D98"/>
    <w:rsid w:val="00937A67"/>
    <w:rsid w:val="00941468"/>
    <w:rsid w:val="009420E1"/>
    <w:rsid w:val="00943148"/>
    <w:rsid w:val="00943A00"/>
    <w:rsid w:val="009455A0"/>
    <w:rsid w:val="00951314"/>
    <w:rsid w:val="00956D2C"/>
    <w:rsid w:val="00961F1C"/>
    <w:rsid w:val="009645A5"/>
    <w:rsid w:val="00966686"/>
    <w:rsid w:val="0097003C"/>
    <w:rsid w:val="00972CE6"/>
    <w:rsid w:val="009765DB"/>
    <w:rsid w:val="00976D60"/>
    <w:rsid w:val="0098244B"/>
    <w:rsid w:val="00984E35"/>
    <w:rsid w:val="00985B01"/>
    <w:rsid w:val="00991772"/>
    <w:rsid w:val="009922B4"/>
    <w:rsid w:val="0099242F"/>
    <w:rsid w:val="009927A2"/>
    <w:rsid w:val="00992844"/>
    <w:rsid w:val="009A096E"/>
    <w:rsid w:val="009A0E80"/>
    <w:rsid w:val="009A4BC7"/>
    <w:rsid w:val="009A5496"/>
    <w:rsid w:val="009A54E9"/>
    <w:rsid w:val="009A6073"/>
    <w:rsid w:val="009A7038"/>
    <w:rsid w:val="009A70FF"/>
    <w:rsid w:val="009A7CFE"/>
    <w:rsid w:val="009B3E0F"/>
    <w:rsid w:val="009B5D45"/>
    <w:rsid w:val="009C0451"/>
    <w:rsid w:val="009C12DC"/>
    <w:rsid w:val="009C334D"/>
    <w:rsid w:val="009C6537"/>
    <w:rsid w:val="009C6EC1"/>
    <w:rsid w:val="009C73C6"/>
    <w:rsid w:val="009D0CC7"/>
    <w:rsid w:val="009D0EAE"/>
    <w:rsid w:val="009D351B"/>
    <w:rsid w:val="009D3528"/>
    <w:rsid w:val="009D4690"/>
    <w:rsid w:val="009E00D0"/>
    <w:rsid w:val="009E1FF0"/>
    <w:rsid w:val="009E4CC9"/>
    <w:rsid w:val="009E4E10"/>
    <w:rsid w:val="009E5F04"/>
    <w:rsid w:val="009E6AB4"/>
    <w:rsid w:val="009E74A6"/>
    <w:rsid w:val="009F4114"/>
    <w:rsid w:val="009F593E"/>
    <w:rsid w:val="009F6542"/>
    <w:rsid w:val="00A00A4F"/>
    <w:rsid w:val="00A00AD7"/>
    <w:rsid w:val="00A010C3"/>
    <w:rsid w:val="00A02849"/>
    <w:rsid w:val="00A028F9"/>
    <w:rsid w:val="00A0768C"/>
    <w:rsid w:val="00A125B0"/>
    <w:rsid w:val="00A14F35"/>
    <w:rsid w:val="00A16715"/>
    <w:rsid w:val="00A20433"/>
    <w:rsid w:val="00A224D3"/>
    <w:rsid w:val="00A2413C"/>
    <w:rsid w:val="00A31AB2"/>
    <w:rsid w:val="00A32B53"/>
    <w:rsid w:val="00A33BAB"/>
    <w:rsid w:val="00A35481"/>
    <w:rsid w:val="00A3578A"/>
    <w:rsid w:val="00A36C57"/>
    <w:rsid w:val="00A36DFB"/>
    <w:rsid w:val="00A37358"/>
    <w:rsid w:val="00A4120F"/>
    <w:rsid w:val="00A42724"/>
    <w:rsid w:val="00A448C4"/>
    <w:rsid w:val="00A50AC3"/>
    <w:rsid w:val="00A51C6E"/>
    <w:rsid w:val="00A52044"/>
    <w:rsid w:val="00A54C65"/>
    <w:rsid w:val="00A55787"/>
    <w:rsid w:val="00A56938"/>
    <w:rsid w:val="00A56B44"/>
    <w:rsid w:val="00A62012"/>
    <w:rsid w:val="00A6225D"/>
    <w:rsid w:val="00A64111"/>
    <w:rsid w:val="00A643F8"/>
    <w:rsid w:val="00A701EE"/>
    <w:rsid w:val="00A71C72"/>
    <w:rsid w:val="00A71E06"/>
    <w:rsid w:val="00A75840"/>
    <w:rsid w:val="00A76EB4"/>
    <w:rsid w:val="00A81792"/>
    <w:rsid w:val="00A8399C"/>
    <w:rsid w:val="00A84623"/>
    <w:rsid w:val="00A8600F"/>
    <w:rsid w:val="00A87242"/>
    <w:rsid w:val="00A94305"/>
    <w:rsid w:val="00A97CC9"/>
    <w:rsid w:val="00AA10C4"/>
    <w:rsid w:val="00AA1183"/>
    <w:rsid w:val="00AA33D7"/>
    <w:rsid w:val="00AA3EC9"/>
    <w:rsid w:val="00AA5E1D"/>
    <w:rsid w:val="00AB18AE"/>
    <w:rsid w:val="00AB1E87"/>
    <w:rsid w:val="00AB3708"/>
    <w:rsid w:val="00AB5C0F"/>
    <w:rsid w:val="00AB6038"/>
    <w:rsid w:val="00AB60E1"/>
    <w:rsid w:val="00AB6C56"/>
    <w:rsid w:val="00AB74A8"/>
    <w:rsid w:val="00AC1E30"/>
    <w:rsid w:val="00AC286C"/>
    <w:rsid w:val="00AC7DB5"/>
    <w:rsid w:val="00AD08DA"/>
    <w:rsid w:val="00AD598C"/>
    <w:rsid w:val="00AD5B53"/>
    <w:rsid w:val="00AE006D"/>
    <w:rsid w:val="00AE1614"/>
    <w:rsid w:val="00AE2C37"/>
    <w:rsid w:val="00AE2F8E"/>
    <w:rsid w:val="00AE4F6E"/>
    <w:rsid w:val="00AE51A1"/>
    <w:rsid w:val="00AE52AE"/>
    <w:rsid w:val="00AF035C"/>
    <w:rsid w:val="00AF2450"/>
    <w:rsid w:val="00AF3198"/>
    <w:rsid w:val="00AF3959"/>
    <w:rsid w:val="00AF45D2"/>
    <w:rsid w:val="00AF4B9E"/>
    <w:rsid w:val="00AF4DA0"/>
    <w:rsid w:val="00AF60CC"/>
    <w:rsid w:val="00AF62DB"/>
    <w:rsid w:val="00B00D17"/>
    <w:rsid w:val="00B0225A"/>
    <w:rsid w:val="00B02CD6"/>
    <w:rsid w:val="00B07771"/>
    <w:rsid w:val="00B10EC0"/>
    <w:rsid w:val="00B11210"/>
    <w:rsid w:val="00B119A6"/>
    <w:rsid w:val="00B14E06"/>
    <w:rsid w:val="00B16172"/>
    <w:rsid w:val="00B17EAD"/>
    <w:rsid w:val="00B2026A"/>
    <w:rsid w:val="00B2046A"/>
    <w:rsid w:val="00B2291C"/>
    <w:rsid w:val="00B240A0"/>
    <w:rsid w:val="00B2436E"/>
    <w:rsid w:val="00B267F6"/>
    <w:rsid w:val="00B27B6F"/>
    <w:rsid w:val="00B32097"/>
    <w:rsid w:val="00B37F9B"/>
    <w:rsid w:val="00B42D4E"/>
    <w:rsid w:val="00B44481"/>
    <w:rsid w:val="00B454C2"/>
    <w:rsid w:val="00B4787A"/>
    <w:rsid w:val="00B501F1"/>
    <w:rsid w:val="00B51B07"/>
    <w:rsid w:val="00B52B4F"/>
    <w:rsid w:val="00B52CBB"/>
    <w:rsid w:val="00B532EF"/>
    <w:rsid w:val="00B570B4"/>
    <w:rsid w:val="00B600B9"/>
    <w:rsid w:val="00B60230"/>
    <w:rsid w:val="00B60E73"/>
    <w:rsid w:val="00B617C5"/>
    <w:rsid w:val="00B6466C"/>
    <w:rsid w:val="00B66589"/>
    <w:rsid w:val="00B66A07"/>
    <w:rsid w:val="00B66A16"/>
    <w:rsid w:val="00B678B6"/>
    <w:rsid w:val="00B67AA2"/>
    <w:rsid w:val="00B71E60"/>
    <w:rsid w:val="00B71F34"/>
    <w:rsid w:val="00B72D25"/>
    <w:rsid w:val="00B73EE5"/>
    <w:rsid w:val="00B7515A"/>
    <w:rsid w:val="00B75FE5"/>
    <w:rsid w:val="00B7780E"/>
    <w:rsid w:val="00B8269A"/>
    <w:rsid w:val="00B83039"/>
    <w:rsid w:val="00B8597F"/>
    <w:rsid w:val="00B8674C"/>
    <w:rsid w:val="00B86EBD"/>
    <w:rsid w:val="00B90A53"/>
    <w:rsid w:val="00B91B8E"/>
    <w:rsid w:val="00B9355B"/>
    <w:rsid w:val="00B93DB1"/>
    <w:rsid w:val="00B94E84"/>
    <w:rsid w:val="00BA15F2"/>
    <w:rsid w:val="00BA1D3C"/>
    <w:rsid w:val="00BA3992"/>
    <w:rsid w:val="00BA4FF0"/>
    <w:rsid w:val="00BA5172"/>
    <w:rsid w:val="00BB1282"/>
    <w:rsid w:val="00BB1F6A"/>
    <w:rsid w:val="00BB29A2"/>
    <w:rsid w:val="00BB2B9F"/>
    <w:rsid w:val="00BB3C57"/>
    <w:rsid w:val="00BC09FA"/>
    <w:rsid w:val="00BC0D59"/>
    <w:rsid w:val="00BC0F16"/>
    <w:rsid w:val="00BC4A79"/>
    <w:rsid w:val="00BC5BB2"/>
    <w:rsid w:val="00BC7629"/>
    <w:rsid w:val="00BD1BFD"/>
    <w:rsid w:val="00BD35A0"/>
    <w:rsid w:val="00BD4236"/>
    <w:rsid w:val="00BD4A99"/>
    <w:rsid w:val="00BD6714"/>
    <w:rsid w:val="00BD6CC7"/>
    <w:rsid w:val="00BF5FF4"/>
    <w:rsid w:val="00BF7D94"/>
    <w:rsid w:val="00C0174D"/>
    <w:rsid w:val="00C01CFA"/>
    <w:rsid w:val="00C02CF3"/>
    <w:rsid w:val="00C05167"/>
    <w:rsid w:val="00C10A42"/>
    <w:rsid w:val="00C11397"/>
    <w:rsid w:val="00C113F5"/>
    <w:rsid w:val="00C114AC"/>
    <w:rsid w:val="00C11BC3"/>
    <w:rsid w:val="00C1270D"/>
    <w:rsid w:val="00C12D8D"/>
    <w:rsid w:val="00C229C2"/>
    <w:rsid w:val="00C24050"/>
    <w:rsid w:val="00C27132"/>
    <w:rsid w:val="00C30A24"/>
    <w:rsid w:val="00C30A41"/>
    <w:rsid w:val="00C3186C"/>
    <w:rsid w:val="00C31CF7"/>
    <w:rsid w:val="00C323FB"/>
    <w:rsid w:val="00C33881"/>
    <w:rsid w:val="00C34D57"/>
    <w:rsid w:val="00C358C1"/>
    <w:rsid w:val="00C35E33"/>
    <w:rsid w:val="00C40384"/>
    <w:rsid w:val="00C41372"/>
    <w:rsid w:val="00C43E7C"/>
    <w:rsid w:val="00C45827"/>
    <w:rsid w:val="00C462E3"/>
    <w:rsid w:val="00C47EFB"/>
    <w:rsid w:val="00C50D53"/>
    <w:rsid w:val="00C5524B"/>
    <w:rsid w:val="00C63317"/>
    <w:rsid w:val="00C64F2B"/>
    <w:rsid w:val="00C70689"/>
    <w:rsid w:val="00C7117C"/>
    <w:rsid w:val="00C72B1B"/>
    <w:rsid w:val="00C774F0"/>
    <w:rsid w:val="00C77B8B"/>
    <w:rsid w:val="00C808FB"/>
    <w:rsid w:val="00C8133A"/>
    <w:rsid w:val="00C85391"/>
    <w:rsid w:val="00C870ED"/>
    <w:rsid w:val="00C90CAD"/>
    <w:rsid w:val="00C919D9"/>
    <w:rsid w:val="00C92796"/>
    <w:rsid w:val="00C978FC"/>
    <w:rsid w:val="00CA2FD7"/>
    <w:rsid w:val="00CA556D"/>
    <w:rsid w:val="00CA6E4A"/>
    <w:rsid w:val="00CB1037"/>
    <w:rsid w:val="00CB2C06"/>
    <w:rsid w:val="00CB2DC8"/>
    <w:rsid w:val="00CB4788"/>
    <w:rsid w:val="00CB5316"/>
    <w:rsid w:val="00CB7AFD"/>
    <w:rsid w:val="00CC01CB"/>
    <w:rsid w:val="00CC06EA"/>
    <w:rsid w:val="00CC11C8"/>
    <w:rsid w:val="00CC2DA7"/>
    <w:rsid w:val="00CC68FA"/>
    <w:rsid w:val="00CD3C90"/>
    <w:rsid w:val="00CD4B1D"/>
    <w:rsid w:val="00CD6E73"/>
    <w:rsid w:val="00CE0CAE"/>
    <w:rsid w:val="00CE11C2"/>
    <w:rsid w:val="00CE2284"/>
    <w:rsid w:val="00CE2F9C"/>
    <w:rsid w:val="00CE4B22"/>
    <w:rsid w:val="00CE59A1"/>
    <w:rsid w:val="00CF303C"/>
    <w:rsid w:val="00CF47D8"/>
    <w:rsid w:val="00D02A54"/>
    <w:rsid w:val="00D03B51"/>
    <w:rsid w:val="00D077D0"/>
    <w:rsid w:val="00D149B0"/>
    <w:rsid w:val="00D15B4E"/>
    <w:rsid w:val="00D1622B"/>
    <w:rsid w:val="00D16322"/>
    <w:rsid w:val="00D16E9D"/>
    <w:rsid w:val="00D216E5"/>
    <w:rsid w:val="00D22FAB"/>
    <w:rsid w:val="00D24118"/>
    <w:rsid w:val="00D24D4E"/>
    <w:rsid w:val="00D33AEC"/>
    <w:rsid w:val="00D358AD"/>
    <w:rsid w:val="00D35BD5"/>
    <w:rsid w:val="00D41BC3"/>
    <w:rsid w:val="00D4619A"/>
    <w:rsid w:val="00D472D6"/>
    <w:rsid w:val="00D513EF"/>
    <w:rsid w:val="00D515AE"/>
    <w:rsid w:val="00D529FA"/>
    <w:rsid w:val="00D53B22"/>
    <w:rsid w:val="00D627DA"/>
    <w:rsid w:val="00D62F0D"/>
    <w:rsid w:val="00D67DB8"/>
    <w:rsid w:val="00D7006C"/>
    <w:rsid w:val="00D706BE"/>
    <w:rsid w:val="00D70A32"/>
    <w:rsid w:val="00D761C1"/>
    <w:rsid w:val="00D76494"/>
    <w:rsid w:val="00D81A0E"/>
    <w:rsid w:val="00D84D50"/>
    <w:rsid w:val="00D86AE8"/>
    <w:rsid w:val="00D90443"/>
    <w:rsid w:val="00D91BA2"/>
    <w:rsid w:val="00D91EDC"/>
    <w:rsid w:val="00D92EAC"/>
    <w:rsid w:val="00D9368F"/>
    <w:rsid w:val="00D94C49"/>
    <w:rsid w:val="00D954A5"/>
    <w:rsid w:val="00DA0B28"/>
    <w:rsid w:val="00DA27FE"/>
    <w:rsid w:val="00DA3663"/>
    <w:rsid w:val="00DA5C49"/>
    <w:rsid w:val="00DA72D8"/>
    <w:rsid w:val="00DA7792"/>
    <w:rsid w:val="00DB058B"/>
    <w:rsid w:val="00DB14B0"/>
    <w:rsid w:val="00DB3508"/>
    <w:rsid w:val="00DB3F42"/>
    <w:rsid w:val="00DB59BC"/>
    <w:rsid w:val="00DC04D4"/>
    <w:rsid w:val="00DC0FCC"/>
    <w:rsid w:val="00DC2DA8"/>
    <w:rsid w:val="00DC6445"/>
    <w:rsid w:val="00DC77DC"/>
    <w:rsid w:val="00DD34F5"/>
    <w:rsid w:val="00DD3773"/>
    <w:rsid w:val="00DD5090"/>
    <w:rsid w:val="00DE00F3"/>
    <w:rsid w:val="00DE42F8"/>
    <w:rsid w:val="00DE60EC"/>
    <w:rsid w:val="00DE6E47"/>
    <w:rsid w:val="00DF36B6"/>
    <w:rsid w:val="00DF5BBA"/>
    <w:rsid w:val="00DF7710"/>
    <w:rsid w:val="00E05A33"/>
    <w:rsid w:val="00E064F7"/>
    <w:rsid w:val="00E071EA"/>
    <w:rsid w:val="00E10A2B"/>
    <w:rsid w:val="00E11D09"/>
    <w:rsid w:val="00E12016"/>
    <w:rsid w:val="00E12E1D"/>
    <w:rsid w:val="00E12E9B"/>
    <w:rsid w:val="00E2013D"/>
    <w:rsid w:val="00E21178"/>
    <w:rsid w:val="00E21549"/>
    <w:rsid w:val="00E23A9F"/>
    <w:rsid w:val="00E2439D"/>
    <w:rsid w:val="00E24BA1"/>
    <w:rsid w:val="00E25653"/>
    <w:rsid w:val="00E274C0"/>
    <w:rsid w:val="00E27FE7"/>
    <w:rsid w:val="00E302C8"/>
    <w:rsid w:val="00E3222B"/>
    <w:rsid w:val="00E323B4"/>
    <w:rsid w:val="00E33A6B"/>
    <w:rsid w:val="00E348B6"/>
    <w:rsid w:val="00E35FC9"/>
    <w:rsid w:val="00E36973"/>
    <w:rsid w:val="00E36B8D"/>
    <w:rsid w:val="00E36FD3"/>
    <w:rsid w:val="00E40D75"/>
    <w:rsid w:val="00E42ED9"/>
    <w:rsid w:val="00E44BB9"/>
    <w:rsid w:val="00E44F84"/>
    <w:rsid w:val="00E45AA0"/>
    <w:rsid w:val="00E463CE"/>
    <w:rsid w:val="00E46F78"/>
    <w:rsid w:val="00E47C71"/>
    <w:rsid w:val="00E51AF8"/>
    <w:rsid w:val="00E53B3E"/>
    <w:rsid w:val="00E544D7"/>
    <w:rsid w:val="00E558E0"/>
    <w:rsid w:val="00E61685"/>
    <w:rsid w:val="00E61F6D"/>
    <w:rsid w:val="00E666B6"/>
    <w:rsid w:val="00E66F49"/>
    <w:rsid w:val="00E67373"/>
    <w:rsid w:val="00E74A6E"/>
    <w:rsid w:val="00E76BCF"/>
    <w:rsid w:val="00E81F41"/>
    <w:rsid w:val="00E81F6C"/>
    <w:rsid w:val="00E82115"/>
    <w:rsid w:val="00E82967"/>
    <w:rsid w:val="00E84645"/>
    <w:rsid w:val="00E85334"/>
    <w:rsid w:val="00E85E02"/>
    <w:rsid w:val="00E92669"/>
    <w:rsid w:val="00E94903"/>
    <w:rsid w:val="00E94D5F"/>
    <w:rsid w:val="00E9586F"/>
    <w:rsid w:val="00E96EC3"/>
    <w:rsid w:val="00EA0AE1"/>
    <w:rsid w:val="00EA25E4"/>
    <w:rsid w:val="00EA2716"/>
    <w:rsid w:val="00EA2E1E"/>
    <w:rsid w:val="00EA3F43"/>
    <w:rsid w:val="00EA5A3F"/>
    <w:rsid w:val="00EA6A2A"/>
    <w:rsid w:val="00EB2A0E"/>
    <w:rsid w:val="00EB2E51"/>
    <w:rsid w:val="00EB3AB1"/>
    <w:rsid w:val="00EB42CD"/>
    <w:rsid w:val="00EB4E6E"/>
    <w:rsid w:val="00EB6DEA"/>
    <w:rsid w:val="00EB7387"/>
    <w:rsid w:val="00EB7694"/>
    <w:rsid w:val="00EB7B7C"/>
    <w:rsid w:val="00EC1134"/>
    <w:rsid w:val="00EC428F"/>
    <w:rsid w:val="00EC6236"/>
    <w:rsid w:val="00EC7587"/>
    <w:rsid w:val="00ED1902"/>
    <w:rsid w:val="00ED3FF9"/>
    <w:rsid w:val="00ED5FAA"/>
    <w:rsid w:val="00ED6BAC"/>
    <w:rsid w:val="00ED6F7A"/>
    <w:rsid w:val="00ED702A"/>
    <w:rsid w:val="00EE4A5C"/>
    <w:rsid w:val="00EE5210"/>
    <w:rsid w:val="00EE6028"/>
    <w:rsid w:val="00EF0072"/>
    <w:rsid w:val="00EF3401"/>
    <w:rsid w:val="00EF5B97"/>
    <w:rsid w:val="00F00E52"/>
    <w:rsid w:val="00F048A6"/>
    <w:rsid w:val="00F06187"/>
    <w:rsid w:val="00F100D9"/>
    <w:rsid w:val="00F10F1F"/>
    <w:rsid w:val="00F16D2A"/>
    <w:rsid w:val="00F179E1"/>
    <w:rsid w:val="00F212FC"/>
    <w:rsid w:val="00F230ED"/>
    <w:rsid w:val="00F27119"/>
    <w:rsid w:val="00F2719D"/>
    <w:rsid w:val="00F30DC9"/>
    <w:rsid w:val="00F339F4"/>
    <w:rsid w:val="00F37DFA"/>
    <w:rsid w:val="00F40041"/>
    <w:rsid w:val="00F41691"/>
    <w:rsid w:val="00F43C35"/>
    <w:rsid w:val="00F45A2E"/>
    <w:rsid w:val="00F47165"/>
    <w:rsid w:val="00F473D8"/>
    <w:rsid w:val="00F473DC"/>
    <w:rsid w:val="00F51571"/>
    <w:rsid w:val="00F53857"/>
    <w:rsid w:val="00F554BC"/>
    <w:rsid w:val="00F5705E"/>
    <w:rsid w:val="00F571F0"/>
    <w:rsid w:val="00F609D2"/>
    <w:rsid w:val="00F613B7"/>
    <w:rsid w:val="00F63B02"/>
    <w:rsid w:val="00F63F4D"/>
    <w:rsid w:val="00F64CAE"/>
    <w:rsid w:val="00F656A9"/>
    <w:rsid w:val="00F6693B"/>
    <w:rsid w:val="00F7499B"/>
    <w:rsid w:val="00F82C99"/>
    <w:rsid w:val="00F85913"/>
    <w:rsid w:val="00F85C06"/>
    <w:rsid w:val="00F864CC"/>
    <w:rsid w:val="00F93927"/>
    <w:rsid w:val="00F95ACC"/>
    <w:rsid w:val="00FA450F"/>
    <w:rsid w:val="00FA64AD"/>
    <w:rsid w:val="00FA71E3"/>
    <w:rsid w:val="00FA7D77"/>
    <w:rsid w:val="00FB0048"/>
    <w:rsid w:val="00FB1906"/>
    <w:rsid w:val="00FB69D0"/>
    <w:rsid w:val="00FB6E8A"/>
    <w:rsid w:val="00FC0515"/>
    <w:rsid w:val="00FC48C6"/>
    <w:rsid w:val="00FC6BD6"/>
    <w:rsid w:val="00FC7842"/>
    <w:rsid w:val="00FD7B50"/>
    <w:rsid w:val="00FE4215"/>
    <w:rsid w:val="00FE526E"/>
    <w:rsid w:val="00FE57E3"/>
    <w:rsid w:val="00FF2D3F"/>
    <w:rsid w:val="00FF4D31"/>
    <w:rsid w:val="00FF5D38"/>
    <w:rsid w:val="00FF639D"/>
    <w:rsid w:val="00FF6934"/>
    <w:rsid w:val="00FF6A5F"/>
    <w:rsid w:val="00FF70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D249"/>
  <w15:docId w15:val="{EBEFACBA-E43C-4B5C-851E-D5101513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15"/>
    <w:pPr>
      <w:jc w:val="both"/>
    </w:pPr>
    <w:rPr>
      <w:rFonts w:eastAsia="Calibri"/>
      <w:sz w:val="22"/>
      <w:szCs w:val="22"/>
      <w:lang w:val="en-GB" w:eastAsia="en-US"/>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6C48B1"/>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6C48B1"/>
    <w:pPr>
      <w:outlineLvl w:val="7"/>
    </w:pPr>
    <w:rPr>
      <w:rFonts w:ascii="Cambria" w:eastAsia="Times New Roman" w:hAnsi="Cambria"/>
      <w:sz w:val="20"/>
    </w:rPr>
  </w:style>
  <w:style w:type="paragraph" w:styleId="Heading9">
    <w:name w:val="heading 9"/>
    <w:basedOn w:val="Normal"/>
    <w:next w:val="Normal"/>
    <w:link w:val="Heading9Char"/>
    <w:uiPriority w:val="9"/>
    <w:semiHidden/>
    <w:unhideWhenUsed/>
    <w:qFormat/>
    <w:rsid w:val="006C48B1"/>
    <w:pPr>
      <w:outlineLvl w:val="8"/>
    </w:pPr>
    <w:rPr>
      <w:rFonts w:ascii="Cambria" w:eastAsia="Times New Roman"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link w:val="Heading5"/>
    <w:uiPriority w:val="9"/>
    <w:semiHidden/>
    <w:rsid w:val="006C48B1"/>
    <w:rPr>
      <w:rFonts w:ascii="Cambria" w:eastAsia="Times New Roman" w:hAnsi="Cambria" w:cs="Times New Roman"/>
      <w:b/>
      <w:bCs/>
      <w:color w:val="7F7F7F"/>
    </w:rPr>
  </w:style>
  <w:style w:type="character" w:customStyle="1" w:styleId="Heading6Char">
    <w:name w:val="Heading 6 Char"/>
    <w:link w:val="Heading6"/>
    <w:uiPriority w:val="9"/>
    <w:semiHidden/>
    <w:rsid w:val="006C48B1"/>
    <w:rPr>
      <w:rFonts w:ascii="Cambria" w:eastAsia="Times New Roman" w:hAnsi="Cambria" w:cs="Times New Roman"/>
      <w:b/>
      <w:bCs/>
      <w:i/>
      <w:iCs/>
      <w:color w:val="7F7F7F"/>
    </w:rPr>
  </w:style>
  <w:style w:type="character" w:customStyle="1" w:styleId="Heading7Char">
    <w:name w:val="Heading 7 Char"/>
    <w:link w:val="Heading7"/>
    <w:uiPriority w:val="9"/>
    <w:semiHidden/>
    <w:rsid w:val="006C48B1"/>
    <w:rPr>
      <w:rFonts w:ascii="Cambria" w:eastAsia="Times New Roman" w:hAnsi="Cambria" w:cs="Times New Roman"/>
      <w:i/>
      <w:iCs/>
    </w:rPr>
  </w:style>
  <w:style w:type="character" w:customStyle="1" w:styleId="Heading8Char">
    <w:name w:val="Heading 8 Char"/>
    <w:link w:val="Heading8"/>
    <w:uiPriority w:val="9"/>
    <w:semiHidden/>
    <w:rsid w:val="006C48B1"/>
    <w:rPr>
      <w:rFonts w:ascii="Cambria" w:eastAsia="Times New Roman" w:hAnsi="Cambria" w:cs="Times New Roman"/>
      <w:sz w:val="20"/>
      <w:szCs w:val="20"/>
    </w:rPr>
  </w:style>
  <w:style w:type="character" w:customStyle="1" w:styleId="Heading9Char">
    <w:name w:val="Heading 9 Char"/>
    <w:link w:val="Heading9"/>
    <w:uiPriority w:val="9"/>
    <w:semiHidden/>
    <w:rsid w:val="006C48B1"/>
    <w:rPr>
      <w:rFonts w:ascii="Cambria" w:eastAsia="Times New Roman" w:hAnsi="Cambria" w:cs="Times New Roman"/>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Cambria" w:eastAsia="Times New Roman" w:hAnsi="Cambria"/>
      <w:i/>
      <w:iCs/>
      <w:spacing w:val="13"/>
      <w:szCs w:val="24"/>
    </w:rPr>
  </w:style>
  <w:style w:type="character" w:customStyle="1" w:styleId="SubtitleChar">
    <w:name w:val="Subtitle Char"/>
    <w:link w:val="Subtitle"/>
    <w:uiPriority w:val="11"/>
    <w:semiHidden/>
    <w:rsid w:val="00015FEB"/>
    <w:rPr>
      <w:rFonts w:ascii="Cambria" w:eastAsia="Times New Roman" w:hAnsi="Cambria" w:cs="Times New Roman"/>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link w:val="Footer"/>
    <w:uiPriority w:val="99"/>
    <w:rsid w:val="00015FEB"/>
    <w:rPr>
      <w:rFonts w:cs="Times New Roman"/>
      <w:sz w:val="24"/>
      <w:szCs w:val="20"/>
      <w:lang w:val="en-GB" w:bidi="ar-SA"/>
    </w:rPr>
  </w:style>
  <w:style w:type="character" w:styleId="FootnoteReference">
    <w:name w:val="footnote reference"/>
    <w:uiPriority w:val="99"/>
    <w:qFormat/>
    <w:rsid w:val="006C48B1"/>
    <w:rPr>
      <w:vertAlign w:val="superscript"/>
    </w:rPr>
  </w:style>
  <w:style w:type="paragraph" w:styleId="FootnoteText">
    <w:name w:val="footnote text"/>
    <w:basedOn w:val="Normal"/>
    <w:link w:val="FootnoteTextChar"/>
    <w:uiPriority w:val="99"/>
    <w:qFormat/>
    <w:rsid w:val="00BC0F16"/>
    <w:pPr>
      <w:jc w:val="left"/>
    </w:pPr>
    <w:rPr>
      <w:sz w:val="18"/>
      <w:lang w:bidi="en-US"/>
    </w:rPr>
  </w:style>
  <w:style w:type="character" w:customStyle="1" w:styleId="FootnoteTextChar">
    <w:name w:val="Footnote Text Char"/>
    <w:link w:val="FootnoteText"/>
    <w:uiPriority w:val="99"/>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link w:val="Header"/>
    <w:uiPriority w:val="1"/>
    <w:rsid w:val="00015FEB"/>
    <w:rPr>
      <w:rFonts w:cs="Times New Roman"/>
      <w:sz w:val="20"/>
      <w:szCs w:val="20"/>
      <w:lang w:val="en-GB" w:bidi="ar-SA"/>
    </w:rPr>
  </w:style>
  <w:style w:type="character" w:styleId="Hyperlink">
    <w:name w:val="Hyperlink"/>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paragraph" w:styleId="BalloonText">
    <w:name w:val="Balloon Text"/>
    <w:basedOn w:val="Normal"/>
    <w:link w:val="BalloonTextChar"/>
    <w:uiPriority w:val="99"/>
    <w:semiHidden/>
    <w:unhideWhenUsed/>
    <w:rsid w:val="00043971"/>
    <w:rPr>
      <w:rFonts w:ascii="Tahoma" w:hAnsi="Tahoma" w:cs="Tahoma"/>
      <w:sz w:val="16"/>
      <w:szCs w:val="16"/>
    </w:rPr>
  </w:style>
  <w:style w:type="character" w:customStyle="1" w:styleId="BalloonTextChar">
    <w:name w:val="Balloon Text Char"/>
    <w:link w:val="BalloonText"/>
    <w:uiPriority w:val="99"/>
    <w:semiHidden/>
    <w:rsid w:val="00043971"/>
    <w:rPr>
      <w:rFonts w:ascii="Tahoma" w:eastAsia="Calibri" w:hAnsi="Tahoma" w:cs="Tahoma"/>
      <w:sz w:val="16"/>
      <w:szCs w:val="16"/>
      <w:lang w:val="en-GB" w:bidi="ar-SA"/>
    </w:rPr>
  </w:style>
  <w:style w:type="paragraph" w:styleId="CommentText">
    <w:name w:val="annotation text"/>
    <w:basedOn w:val="Normal"/>
    <w:link w:val="CommentTextChar"/>
    <w:uiPriority w:val="99"/>
    <w:unhideWhenUsed/>
    <w:rsid w:val="00724BD8"/>
    <w:pPr>
      <w:jc w:val="left"/>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724BD8"/>
    <w:rPr>
      <w:rFonts w:ascii="Times New Roman" w:hAnsi="Times New Roman"/>
      <w:lang w:val="en-US" w:eastAsia="en-US"/>
    </w:rPr>
  </w:style>
  <w:style w:type="character" w:styleId="CommentReference">
    <w:name w:val="annotation reference"/>
    <w:basedOn w:val="DefaultParagraphFont"/>
    <w:uiPriority w:val="99"/>
    <w:semiHidden/>
    <w:unhideWhenUsed/>
    <w:rsid w:val="000E2367"/>
    <w:rPr>
      <w:sz w:val="16"/>
      <w:szCs w:val="16"/>
    </w:rPr>
  </w:style>
  <w:style w:type="paragraph" w:styleId="CommentSubject">
    <w:name w:val="annotation subject"/>
    <w:basedOn w:val="CommentText"/>
    <w:next w:val="CommentText"/>
    <w:link w:val="CommentSubjectChar"/>
    <w:uiPriority w:val="99"/>
    <w:semiHidden/>
    <w:unhideWhenUsed/>
    <w:rsid w:val="000E2367"/>
    <w:pPr>
      <w:jc w:val="both"/>
    </w:pPr>
    <w:rPr>
      <w:rFonts w:ascii="Calibri" w:eastAsia="Calibri" w:hAnsi="Calibri"/>
      <w:b/>
      <w:bCs/>
      <w:lang w:val="en-GB"/>
    </w:rPr>
  </w:style>
  <w:style w:type="character" w:customStyle="1" w:styleId="CommentSubjectChar">
    <w:name w:val="Comment Subject Char"/>
    <w:basedOn w:val="CommentTextChar"/>
    <w:link w:val="CommentSubject"/>
    <w:uiPriority w:val="99"/>
    <w:semiHidden/>
    <w:rsid w:val="000E2367"/>
    <w:rPr>
      <w:rFonts w:ascii="Times New Roman" w:eastAsia="Calibri"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20Butcher\Documents\Custom%20Office%20Templates\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446F-43E3-41F5-8AB8-8E8EB924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Template>
  <TotalTime>0</TotalTime>
  <Pages>12</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Butcher</dc:creator>
  <cp:keywords/>
  <cp:lastModifiedBy>Rosemary Juma</cp:lastModifiedBy>
  <cp:revision>13</cp:revision>
  <dcterms:created xsi:type="dcterms:W3CDTF">2016-05-10T17:54:00Z</dcterms:created>
  <dcterms:modified xsi:type="dcterms:W3CDTF">2016-05-12T08:14:00Z</dcterms:modified>
</cp:coreProperties>
</file>