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45897" w14:textId="46961546" w:rsidR="002C2746" w:rsidRDefault="00325706" w:rsidP="00CA2738">
      <w:pPr>
        <w:pStyle w:val="Heading1"/>
      </w:pPr>
      <w:r>
        <w:t>Toolkit for Developing Human Resource Policies and Supportive Institutional Environments in Higher Education</w:t>
      </w:r>
    </w:p>
    <w:p w14:paraId="27050A54" w14:textId="17F3907A" w:rsidR="00F54527" w:rsidRDefault="00325706" w:rsidP="00B06300">
      <w:pPr>
        <w:pStyle w:val="Heading2"/>
      </w:pPr>
      <w:r>
        <w:t>Background and introduction</w:t>
      </w:r>
    </w:p>
    <w:p w14:paraId="26F8EBB3" w14:textId="2DC3161F" w:rsidR="00FF1DCC" w:rsidRDefault="00CF3DE7" w:rsidP="00CA2738">
      <w:pPr>
        <w:rPr>
          <w:lang w:val="en-ZA"/>
        </w:rPr>
      </w:pPr>
      <w:r>
        <w:rPr>
          <w:lang w:val="en-ZA"/>
        </w:rPr>
        <w:t xml:space="preserve">Human Resource (HR) systems play a key role in positioning higher education institutions as preferred workplaces for academic and non-academic staff alike. </w:t>
      </w:r>
      <w:r w:rsidRPr="00CF3DE7">
        <w:rPr>
          <w:lang w:val="en-ZA"/>
        </w:rPr>
        <w:t xml:space="preserve">As these institutions face increasingly complex challenges, they must find ways to </w:t>
      </w:r>
      <w:r w:rsidR="00FF1DCC">
        <w:rPr>
          <w:lang w:val="en-ZA"/>
        </w:rPr>
        <w:t xml:space="preserve">strategically </w:t>
      </w:r>
      <w:r w:rsidRPr="00CF3DE7">
        <w:rPr>
          <w:lang w:val="en-ZA"/>
        </w:rPr>
        <w:t xml:space="preserve">manage and support </w:t>
      </w:r>
      <w:r w:rsidR="00F739C1">
        <w:rPr>
          <w:lang w:val="en-ZA"/>
        </w:rPr>
        <w:t xml:space="preserve">their </w:t>
      </w:r>
      <w:r w:rsidRPr="00CF3DE7">
        <w:rPr>
          <w:lang w:val="en-ZA"/>
        </w:rPr>
        <w:t>staff. A well-organi</w:t>
      </w:r>
      <w:r w:rsidR="00482B5E">
        <w:rPr>
          <w:lang w:val="en-ZA"/>
        </w:rPr>
        <w:t>s</w:t>
      </w:r>
      <w:r w:rsidRPr="00CF3DE7">
        <w:rPr>
          <w:lang w:val="en-ZA"/>
        </w:rPr>
        <w:t xml:space="preserve">ed, fair, and adaptable HR system is </w:t>
      </w:r>
      <w:r w:rsidR="00524256">
        <w:rPr>
          <w:lang w:val="en-ZA"/>
        </w:rPr>
        <w:t>important</w:t>
      </w:r>
      <w:r w:rsidRPr="00CF3DE7">
        <w:rPr>
          <w:lang w:val="en-ZA"/>
        </w:rPr>
        <w:t xml:space="preserve"> for attracting, retaining, and developing talented individuals to meet their </w:t>
      </w:r>
      <w:r w:rsidR="00524256">
        <w:rPr>
          <w:lang w:val="en-ZA"/>
        </w:rPr>
        <w:t xml:space="preserve">strategic </w:t>
      </w:r>
      <w:r w:rsidRPr="00CF3DE7">
        <w:rPr>
          <w:lang w:val="en-ZA"/>
        </w:rPr>
        <w:t xml:space="preserve">objectives and adjust to </w:t>
      </w:r>
      <w:r w:rsidR="00F739C1">
        <w:rPr>
          <w:lang w:val="en-ZA"/>
        </w:rPr>
        <w:t xml:space="preserve">the changing demands of the </w:t>
      </w:r>
      <w:r w:rsidR="00611C24">
        <w:rPr>
          <w:lang w:val="en-ZA"/>
        </w:rPr>
        <w:t xml:space="preserve">labour </w:t>
      </w:r>
      <w:r w:rsidRPr="00CF3DE7">
        <w:rPr>
          <w:lang w:val="en-ZA"/>
        </w:rPr>
        <w:t xml:space="preserve">market. </w:t>
      </w:r>
    </w:p>
    <w:p w14:paraId="0B40CCAD" w14:textId="77777777" w:rsidR="00FF1DCC" w:rsidRDefault="00FF1DCC" w:rsidP="00CA2738">
      <w:pPr>
        <w:rPr>
          <w:lang w:val="en-ZA"/>
        </w:rPr>
      </w:pPr>
    </w:p>
    <w:p w14:paraId="16E83EB2" w14:textId="6E1EA26F" w:rsidR="00325706" w:rsidRDefault="00CF3DE7" w:rsidP="00CA2738">
      <w:pPr>
        <w:rPr>
          <w:lang w:val="en-ZA"/>
        </w:rPr>
      </w:pPr>
      <w:r w:rsidRPr="00CF3DE7">
        <w:rPr>
          <w:lang w:val="en-ZA"/>
        </w:rPr>
        <w:t xml:space="preserve">This toolkit is </w:t>
      </w:r>
      <w:r w:rsidR="00FF1DCC">
        <w:rPr>
          <w:lang w:val="en-ZA"/>
        </w:rPr>
        <w:t>aimed at providing</w:t>
      </w:r>
      <w:r w:rsidRPr="00CF3DE7">
        <w:rPr>
          <w:lang w:val="en-ZA"/>
        </w:rPr>
        <w:t xml:space="preserve"> a</w:t>
      </w:r>
      <w:r w:rsidR="00FF1DCC">
        <w:rPr>
          <w:lang w:val="en-ZA"/>
        </w:rPr>
        <w:t xml:space="preserve"> practical guide </w:t>
      </w:r>
      <w:r w:rsidRPr="00CF3DE7">
        <w:rPr>
          <w:lang w:val="en-ZA"/>
        </w:rPr>
        <w:t>for universities to evaluate, enhance, or establish effective HR policies and practices. It provides a straightforward approach to identifying policy gaps, aligning with best practices, and creating an environment that prioriti</w:t>
      </w:r>
      <w:r w:rsidR="00FF1DCC">
        <w:rPr>
          <w:lang w:val="en-ZA"/>
        </w:rPr>
        <w:t>s</w:t>
      </w:r>
      <w:r w:rsidRPr="00CF3DE7">
        <w:rPr>
          <w:lang w:val="en-ZA"/>
        </w:rPr>
        <w:t>es fairness, staff wellbeing, and career growth. While based on widely recogni</w:t>
      </w:r>
      <w:r w:rsidR="00ED4054">
        <w:rPr>
          <w:lang w:val="en-ZA"/>
        </w:rPr>
        <w:t>s</w:t>
      </w:r>
      <w:r w:rsidRPr="00CF3DE7">
        <w:rPr>
          <w:lang w:val="en-ZA"/>
        </w:rPr>
        <w:t>ed HR management principles, the toolkit can be tailored to fit various institutional types and national contexts.</w:t>
      </w:r>
      <w:r w:rsidR="002743F2">
        <w:rPr>
          <w:lang w:val="en-ZA"/>
        </w:rPr>
        <w:t xml:space="preserve"> </w:t>
      </w:r>
      <w:r w:rsidRPr="00CF3DE7">
        <w:rPr>
          <w:lang w:val="en-ZA"/>
        </w:rPr>
        <w:t xml:space="preserve">By </w:t>
      </w:r>
      <w:r w:rsidR="00FF1DCC">
        <w:rPr>
          <w:lang w:val="en-ZA"/>
        </w:rPr>
        <w:t xml:space="preserve">using </w:t>
      </w:r>
      <w:r w:rsidRPr="00CF3DE7">
        <w:rPr>
          <w:lang w:val="en-ZA"/>
        </w:rPr>
        <w:t xml:space="preserve">this toolkit, higher education institutions can lay a strong foundation for enhanced staff engagement, improved institutional effectiveness, and </w:t>
      </w:r>
      <w:r w:rsidR="00FF1DCC">
        <w:rPr>
          <w:lang w:val="en-ZA"/>
        </w:rPr>
        <w:t xml:space="preserve">strategic alignment, thereby </w:t>
      </w:r>
      <w:r w:rsidRPr="00CF3DE7">
        <w:rPr>
          <w:lang w:val="en-ZA"/>
        </w:rPr>
        <w:t>ensuring th</w:t>
      </w:r>
      <w:r w:rsidR="00FF1DCC">
        <w:rPr>
          <w:lang w:val="en-ZA"/>
        </w:rPr>
        <w:t>at</w:t>
      </w:r>
      <w:r w:rsidRPr="00CF3DE7">
        <w:rPr>
          <w:lang w:val="en-ZA"/>
        </w:rPr>
        <w:t xml:space="preserve"> HR policies and environments meet both current and future demands.</w:t>
      </w:r>
    </w:p>
    <w:p w14:paraId="07AA97E0" w14:textId="77777777" w:rsidR="00840FA1" w:rsidRDefault="00840FA1" w:rsidP="00CA2738">
      <w:pPr>
        <w:rPr>
          <w:lang w:val="en-ZA"/>
        </w:rPr>
      </w:pPr>
    </w:p>
    <w:p w14:paraId="79F56F0D" w14:textId="0094A77D" w:rsidR="00840FA1" w:rsidRDefault="00840FA1" w:rsidP="00CA2738">
      <w:pPr>
        <w:rPr>
          <w:lang w:val="en-ZA"/>
        </w:rPr>
      </w:pPr>
      <w:r>
        <w:rPr>
          <w:lang w:val="en-ZA"/>
        </w:rPr>
        <w:t xml:space="preserve">Importantly, this work </w:t>
      </w:r>
      <w:r w:rsidR="005513E3">
        <w:rPr>
          <w:lang w:val="en-ZA"/>
        </w:rPr>
        <w:t xml:space="preserve">is positioned to contribute to the mission of OER Africa </w:t>
      </w:r>
      <w:r w:rsidR="00A031AE">
        <w:rPr>
          <w:lang w:val="en-ZA"/>
        </w:rPr>
        <w:t>in supporting susta</w:t>
      </w:r>
      <w:r w:rsidR="008F0DA4" w:rsidRPr="008F0DA4">
        <w:rPr>
          <w:lang w:val="en-ZA"/>
        </w:rPr>
        <w:t xml:space="preserve">inable African education systems and institutions that empower academics and leaders to implement OER </w:t>
      </w:r>
      <w:r w:rsidR="00F739C1">
        <w:rPr>
          <w:lang w:val="en-ZA"/>
        </w:rPr>
        <w:t xml:space="preserve">(Open Educational Resources) </w:t>
      </w:r>
      <w:r w:rsidR="008F0DA4" w:rsidRPr="008F0DA4">
        <w:rPr>
          <w:lang w:val="en-ZA"/>
        </w:rPr>
        <w:t>effectively, thereby enhancing the affordability and quality of higher education</w:t>
      </w:r>
      <w:r w:rsidR="00AC00CC">
        <w:rPr>
          <w:lang w:val="en-ZA"/>
        </w:rPr>
        <w:t xml:space="preserve"> on the </w:t>
      </w:r>
      <w:r w:rsidR="00F739C1">
        <w:rPr>
          <w:lang w:val="en-ZA"/>
        </w:rPr>
        <w:t xml:space="preserve">African </w:t>
      </w:r>
      <w:r w:rsidR="00AC00CC">
        <w:rPr>
          <w:lang w:val="en-ZA"/>
        </w:rPr>
        <w:t>continent</w:t>
      </w:r>
      <w:r w:rsidR="008F0DA4" w:rsidRPr="008F0DA4">
        <w:rPr>
          <w:lang w:val="en-ZA"/>
        </w:rPr>
        <w:t>.</w:t>
      </w:r>
      <w:r w:rsidR="00AC00CC">
        <w:rPr>
          <w:lang w:val="en-ZA"/>
        </w:rPr>
        <w:t xml:space="preserve"> </w:t>
      </w:r>
    </w:p>
    <w:p w14:paraId="15CBDCDE" w14:textId="77777777" w:rsidR="00CF3DE7" w:rsidRDefault="00CF3DE7" w:rsidP="00CA2738">
      <w:pPr>
        <w:rPr>
          <w:lang w:val="en-ZA"/>
        </w:rPr>
      </w:pPr>
    </w:p>
    <w:p w14:paraId="304DE256" w14:textId="27A1C559" w:rsidR="00CF3DE7" w:rsidRDefault="00FF1DCC" w:rsidP="00CA2738">
      <w:pPr>
        <w:rPr>
          <w:lang w:val="en-ZA"/>
        </w:rPr>
      </w:pPr>
      <w:r>
        <w:rPr>
          <w:lang w:val="en-ZA"/>
        </w:rPr>
        <w:t xml:space="preserve">The toolkit first provides a summary of core HR policy domains, followed by a guide on good practices in </w:t>
      </w:r>
      <w:r w:rsidR="00E43E4D">
        <w:rPr>
          <w:lang w:val="en-ZA"/>
        </w:rPr>
        <w:t xml:space="preserve">HR </w:t>
      </w:r>
      <w:r>
        <w:rPr>
          <w:lang w:val="en-ZA"/>
        </w:rPr>
        <w:t xml:space="preserve">processes. Templates and references to useful HR resources are provided </w:t>
      </w:r>
      <w:r w:rsidR="00237591">
        <w:rPr>
          <w:lang w:val="en-ZA"/>
        </w:rPr>
        <w:t xml:space="preserve">in </w:t>
      </w:r>
      <w:r w:rsidR="00406CEA">
        <w:rPr>
          <w:lang w:val="en-ZA"/>
        </w:rPr>
        <w:t xml:space="preserve">the </w:t>
      </w:r>
      <w:r w:rsidR="00840FA1">
        <w:rPr>
          <w:lang w:val="en-ZA"/>
        </w:rPr>
        <w:t>List of Resources</w:t>
      </w:r>
      <w:r w:rsidR="00237591">
        <w:rPr>
          <w:lang w:val="en-ZA"/>
        </w:rPr>
        <w:t xml:space="preserve"> and </w:t>
      </w:r>
      <w:r>
        <w:rPr>
          <w:lang w:val="en-ZA"/>
        </w:rPr>
        <w:t xml:space="preserve">as appendices. </w:t>
      </w:r>
    </w:p>
    <w:p w14:paraId="153ED23D" w14:textId="546A1547" w:rsidR="00B40D55" w:rsidRDefault="00B40D55">
      <w:pPr>
        <w:spacing w:after="200" w:line="276" w:lineRule="auto"/>
        <w:jc w:val="left"/>
        <w:rPr>
          <w:rFonts w:cs="Arial"/>
          <w:b/>
          <w:bCs/>
          <w:iCs/>
          <w:color w:val="5B5590"/>
          <w:sz w:val="32"/>
          <w:szCs w:val="32"/>
        </w:rPr>
      </w:pPr>
      <w:r>
        <w:rPr>
          <w:noProof/>
        </w:rPr>
        <mc:AlternateContent>
          <mc:Choice Requires="wps">
            <w:drawing>
              <wp:anchor distT="0" distB="0" distL="114300" distR="114300" simplePos="0" relativeHeight="251659264" behindDoc="0" locked="0" layoutInCell="1" allowOverlap="1" wp14:anchorId="04BF1605" wp14:editId="31BC6D66">
                <wp:simplePos x="0" y="0"/>
                <wp:positionH relativeFrom="column">
                  <wp:posOffset>0</wp:posOffset>
                </wp:positionH>
                <wp:positionV relativeFrom="paragraph">
                  <wp:posOffset>424180</wp:posOffset>
                </wp:positionV>
                <wp:extent cx="6197600" cy="1109345"/>
                <wp:effectExtent l="9525" t="13335" r="12700" b="10795"/>
                <wp:wrapSquare wrapText="bothSides"/>
                <wp:docPr id="20279360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109345"/>
                        </a:xfrm>
                        <a:prstGeom prst="rect">
                          <a:avLst/>
                        </a:prstGeom>
                        <a:solidFill>
                          <a:srgbClr val="FFFFFF"/>
                        </a:solidFill>
                        <a:ln w="9525">
                          <a:solidFill>
                            <a:srgbClr val="BFBFBF"/>
                          </a:solidFill>
                          <a:miter lim="800000"/>
                          <a:headEnd/>
                          <a:tailEnd/>
                        </a:ln>
                      </wps:spPr>
                      <wps:txbx>
                        <w:txbxContent>
                          <w:p w14:paraId="26142BC1" w14:textId="77777777" w:rsidR="00B40D55" w:rsidRDefault="00B40D55" w:rsidP="00B40D55">
                            <w:pPr>
                              <w:pStyle w:val="Footer"/>
                              <w:jc w:val="center"/>
                            </w:pPr>
                            <w:r>
                              <w:br/>
                            </w:r>
                            <w:r w:rsidRPr="00906E7D">
                              <w:rPr>
                                <w:noProof/>
                                <w:color w:val="0000FF"/>
                                <w:sz w:val="16"/>
                                <w:szCs w:val="16"/>
                                <w:lang w:eastAsia="en-ZA"/>
                              </w:rPr>
                              <w:drawing>
                                <wp:inline distT="0" distB="0" distL="0" distR="0" wp14:anchorId="69708728" wp14:editId="1CFDEC97">
                                  <wp:extent cx="762000" cy="142875"/>
                                  <wp:effectExtent l="0" t="0" r="0" b="9525"/>
                                  <wp:docPr id="717143285" name="Picture 1" descr="Description: 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Description: Creative Commons Licen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p>
                          <w:p w14:paraId="6EDF4A6D" w14:textId="6E391C80" w:rsidR="00B40D55" w:rsidRPr="008E277F" w:rsidRDefault="004F6C21" w:rsidP="00B40D55">
                            <w:pPr>
                              <w:pStyle w:val="Footer"/>
                              <w:jc w:val="center"/>
                              <w:rPr>
                                <w:sz w:val="16"/>
                                <w:szCs w:val="16"/>
                              </w:rPr>
                            </w:pPr>
                            <w:r>
                              <w:rPr>
                                <w:sz w:val="16"/>
                                <w:szCs w:val="16"/>
                              </w:rPr>
                              <w:t xml:space="preserve">Generic HR and Institutional Environments Toolkit </w:t>
                            </w:r>
                            <w:r w:rsidR="00B40D55" w:rsidRPr="008E277F">
                              <w:rPr>
                                <w:sz w:val="16"/>
                                <w:szCs w:val="16"/>
                              </w:rPr>
                              <w:t>is licensed under a</w:t>
                            </w:r>
                            <w:r w:rsidR="00B40D55">
                              <w:rPr>
                                <w:sz w:val="16"/>
                                <w:szCs w:val="16"/>
                              </w:rPr>
                              <w:br/>
                            </w:r>
                            <w:r w:rsidR="00B40D55" w:rsidRPr="008E277F">
                              <w:rPr>
                                <w:sz w:val="16"/>
                                <w:szCs w:val="16"/>
                              </w:rPr>
                              <w:t xml:space="preserve"> </w:t>
                            </w:r>
                            <w:hyperlink r:id="rId14" w:history="1">
                              <w:r w:rsidR="00B40D55" w:rsidRPr="008E277F">
                                <w:rPr>
                                  <w:rStyle w:val="Hyperlink"/>
                                  <w:sz w:val="16"/>
                                  <w:szCs w:val="16"/>
                                </w:rPr>
                                <w:t xml:space="preserve">Creative Commons Attribution </w:t>
                              </w:r>
                              <w:r w:rsidR="00B40D55">
                                <w:rPr>
                                  <w:rStyle w:val="Hyperlink"/>
                                  <w:sz w:val="16"/>
                                  <w:szCs w:val="16"/>
                                </w:rPr>
                                <w:t>4</w:t>
                              </w:r>
                              <w:r w:rsidR="00B40D55" w:rsidRPr="008E277F">
                                <w:rPr>
                                  <w:rStyle w:val="Hyperlink"/>
                                  <w:sz w:val="16"/>
                                  <w:szCs w:val="16"/>
                                </w:rPr>
                                <w:t xml:space="preserve">.0 </w:t>
                              </w:r>
                              <w:r w:rsidR="00B40D55">
                                <w:rPr>
                                  <w:rStyle w:val="Hyperlink"/>
                                  <w:sz w:val="16"/>
                                  <w:szCs w:val="16"/>
                                </w:rPr>
                                <w:t>International</w:t>
                              </w:r>
                              <w:r w:rsidR="00B40D55" w:rsidRPr="008E277F">
                                <w:rPr>
                                  <w:rStyle w:val="Hyperlink"/>
                                  <w:sz w:val="16"/>
                                  <w:szCs w:val="16"/>
                                </w:rPr>
                                <w:t xml:space="preserve"> License</w:t>
                              </w:r>
                            </w:hyperlink>
                            <w:r w:rsidR="00B40D55" w:rsidRPr="008E277F">
                              <w:rPr>
                                <w:sz w:val="16"/>
                                <w:szCs w:val="16"/>
                              </w:rPr>
                              <w:t>.</w:t>
                            </w:r>
                            <w:r w:rsidR="00B40D55" w:rsidRPr="008E277F">
                              <w:rPr>
                                <w:sz w:val="16"/>
                                <w:szCs w:val="16"/>
                              </w:rPr>
                              <w:br/>
                              <w:t xml:space="preserve">Based on a work at </w:t>
                            </w:r>
                            <w:hyperlink r:id="rId15" w:history="1">
                              <w:r w:rsidRPr="00B143BC">
                                <w:rPr>
                                  <w:rStyle w:val="Hyperlink"/>
                                  <w:sz w:val="16"/>
                                  <w:szCs w:val="16"/>
                                </w:rPr>
                                <w:t>www.oerafrica.org</w:t>
                              </w:r>
                            </w:hyperlink>
                            <w:r>
                              <w:rPr>
                                <w:sz w:val="16"/>
                                <w:szCs w:val="16"/>
                              </w:rPr>
                              <w:t xml:space="preserve"> </w:t>
                            </w:r>
                          </w:p>
                          <w:p w14:paraId="07372419" w14:textId="77777777" w:rsidR="00B40D55" w:rsidRDefault="00B40D55" w:rsidP="00B40D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F1605" id="_x0000_t202" coordsize="21600,21600" o:spt="202" path="m,l,21600r21600,l21600,xe">
                <v:stroke joinstyle="miter"/>
                <v:path gradientshapeok="t" o:connecttype="rect"/>
              </v:shapetype>
              <v:shape id="Text Box 2" o:spid="_x0000_s1026" type="#_x0000_t202" style="position:absolute;margin-left:0;margin-top:33.4pt;width:488pt;height:8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" strokecolor="#bfbfbf">
                <v:textbox>
                  <w:txbxContent>
                    <w:p w14:paraId="26142BC1" w14:textId="77777777" w:rsidR="00B40D55" w:rsidRDefault="00B40D55" w:rsidP="00B40D55">
                      <w:pPr>
                        <w:pStyle w:val="Footer"/>
                        <w:jc w:val="center"/>
                      </w:pPr>
                      <w:r>
                        <w:br/>
                      </w:r>
                      <w:r w:rsidRPr="00906E7D">
                        <w:rPr>
                          <w:noProof/>
                          <w:color w:val="0000FF"/>
                          <w:sz w:val="16"/>
                          <w:szCs w:val="16"/>
                          <w:lang w:eastAsia="en-ZA"/>
                        </w:rPr>
                        <w:drawing>
                          <wp:inline distT="0" distB="0" distL="0" distR="0" wp14:anchorId="69708728" wp14:editId="1CFDEC97">
                            <wp:extent cx="762000" cy="142875"/>
                            <wp:effectExtent l="0" t="0" r="0" b="9525"/>
                            <wp:docPr id="717143285" name="Picture 1" descr="Description: 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Description: Creative Commons Licen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p>
                    <w:p w14:paraId="6EDF4A6D" w14:textId="6E391C80" w:rsidR="00B40D55" w:rsidRPr="008E277F" w:rsidRDefault="004F6C21" w:rsidP="00B40D55">
                      <w:pPr>
                        <w:pStyle w:val="Footer"/>
                        <w:jc w:val="center"/>
                        <w:rPr>
                          <w:sz w:val="16"/>
                          <w:szCs w:val="16"/>
                        </w:rPr>
                      </w:pPr>
                      <w:r>
                        <w:rPr>
                          <w:sz w:val="16"/>
                          <w:szCs w:val="16"/>
                        </w:rPr>
                        <w:t xml:space="preserve">Generic HR and Institutional Environments Toolkit </w:t>
                      </w:r>
                      <w:r w:rsidR="00B40D55" w:rsidRPr="008E277F">
                        <w:rPr>
                          <w:sz w:val="16"/>
                          <w:szCs w:val="16"/>
                        </w:rPr>
                        <w:t>is licensed under a</w:t>
                      </w:r>
                      <w:r w:rsidR="00B40D55">
                        <w:rPr>
                          <w:sz w:val="16"/>
                          <w:szCs w:val="16"/>
                        </w:rPr>
                        <w:br/>
                      </w:r>
                      <w:r w:rsidR="00B40D55" w:rsidRPr="008E277F">
                        <w:rPr>
                          <w:sz w:val="16"/>
                          <w:szCs w:val="16"/>
                        </w:rPr>
                        <w:t xml:space="preserve"> </w:t>
                      </w:r>
                      <w:hyperlink r:id="rId16" w:history="1">
                        <w:r w:rsidR="00B40D55" w:rsidRPr="008E277F">
                          <w:rPr>
                            <w:rStyle w:val="Hyperlink"/>
                            <w:sz w:val="16"/>
                            <w:szCs w:val="16"/>
                          </w:rPr>
                          <w:t xml:space="preserve">Creative Commons Attribution </w:t>
                        </w:r>
                        <w:r w:rsidR="00B40D55">
                          <w:rPr>
                            <w:rStyle w:val="Hyperlink"/>
                            <w:sz w:val="16"/>
                            <w:szCs w:val="16"/>
                          </w:rPr>
                          <w:t>4</w:t>
                        </w:r>
                        <w:r w:rsidR="00B40D55" w:rsidRPr="008E277F">
                          <w:rPr>
                            <w:rStyle w:val="Hyperlink"/>
                            <w:sz w:val="16"/>
                            <w:szCs w:val="16"/>
                          </w:rPr>
                          <w:t xml:space="preserve">.0 </w:t>
                        </w:r>
                        <w:r w:rsidR="00B40D55">
                          <w:rPr>
                            <w:rStyle w:val="Hyperlink"/>
                            <w:sz w:val="16"/>
                            <w:szCs w:val="16"/>
                          </w:rPr>
                          <w:t>International</w:t>
                        </w:r>
                        <w:r w:rsidR="00B40D55" w:rsidRPr="008E277F">
                          <w:rPr>
                            <w:rStyle w:val="Hyperlink"/>
                            <w:sz w:val="16"/>
                            <w:szCs w:val="16"/>
                          </w:rPr>
                          <w:t xml:space="preserve"> License</w:t>
                        </w:r>
                      </w:hyperlink>
                      <w:r w:rsidR="00B40D55" w:rsidRPr="008E277F">
                        <w:rPr>
                          <w:sz w:val="16"/>
                          <w:szCs w:val="16"/>
                        </w:rPr>
                        <w:t>.</w:t>
                      </w:r>
                      <w:r w:rsidR="00B40D55" w:rsidRPr="008E277F">
                        <w:rPr>
                          <w:sz w:val="16"/>
                          <w:szCs w:val="16"/>
                        </w:rPr>
                        <w:br/>
                        <w:t xml:space="preserve">Based on a work at </w:t>
                      </w:r>
                      <w:hyperlink r:id="rId17" w:history="1">
                        <w:r w:rsidRPr="00B143BC">
                          <w:rPr>
                            <w:rStyle w:val="Hyperlink"/>
                            <w:sz w:val="16"/>
                            <w:szCs w:val="16"/>
                          </w:rPr>
                          <w:t>www.oerafrica.org</w:t>
                        </w:r>
                      </w:hyperlink>
                      <w:r>
                        <w:rPr>
                          <w:sz w:val="16"/>
                          <w:szCs w:val="16"/>
                        </w:rPr>
                        <w:t xml:space="preserve"> </w:t>
                      </w:r>
                    </w:p>
                    <w:p w14:paraId="07372419" w14:textId="77777777" w:rsidR="00B40D55" w:rsidRDefault="00B40D55" w:rsidP="00B40D55"/>
                  </w:txbxContent>
                </v:textbox>
                <w10:wrap type="square"/>
              </v:shape>
            </w:pict>
          </mc:Fallback>
        </mc:AlternateContent>
      </w:r>
      <w:r>
        <w:br w:type="page"/>
      </w:r>
    </w:p>
    <w:p w14:paraId="7751E434" w14:textId="29008D70" w:rsidR="001305EC" w:rsidRDefault="00621442" w:rsidP="00B06300">
      <w:pPr>
        <w:pStyle w:val="Heading2"/>
      </w:pPr>
      <w:r>
        <w:lastRenderedPageBreak/>
        <w:t>How to use this toolkit</w:t>
      </w:r>
    </w:p>
    <w:p w14:paraId="37DD772C" w14:textId="2B33BF5B" w:rsidR="00237591" w:rsidRDefault="00F43FF4" w:rsidP="00D80C1E">
      <w:pPr>
        <w:pStyle w:val="ListParagraph"/>
        <w:numPr>
          <w:ilvl w:val="1"/>
          <w:numId w:val="12"/>
        </w:numPr>
        <w:rPr>
          <w:lang w:val="en-ZA"/>
        </w:rPr>
      </w:pPr>
      <w:r w:rsidRPr="00237591">
        <w:rPr>
          <w:lang w:val="en-ZA"/>
        </w:rPr>
        <w:t xml:space="preserve">Start </w:t>
      </w:r>
      <w:r w:rsidR="00455185">
        <w:rPr>
          <w:lang w:val="en-ZA"/>
        </w:rPr>
        <w:t>by</w:t>
      </w:r>
      <w:r w:rsidRPr="00237591">
        <w:rPr>
          <w:lang w:val="en-ZA"/>
        </w:rPr>
        <w:t xml:space="preserve"> completing the Institutional Self-Assessment survey (</w:t>
      </w:r>
      <w:r w:rsidRPr="00D76460">
        <w:rPr>
          <w:b/>
          <w:bCs/>
          <w:lang w:val="en-ZA"/>
        </w:rPr>
        <w:t>Appendix A</w:t>
      </w:r>
      <w:r w:rsidRPr="00237591">
        <w:rPr>
          <w:lang w:val="en-ZA"/>
        </w:rPr>
        <w:t>)</w:t>
      </w:r>
      <w:r w:rsidR="0045179D" w:rsidRPr="00237591">
        <w:rPr>
          <w:lang w:val="en-ZA"/>
        </w:rPr>
        <w:t xml:space="preserve"> to i</w:t>
      </w:r>
      <w:r w:rsidR="003C51BE" w:rsidRPr="00237591">
        <w:rPr>
          <w:lang w:val="en-ZA"/>
        </w:rPr>
        <w:t xml:space="preserve">dentify gaps in HR </w:t>
      </w:r>
      <w:r w:rsidR="00536AC3" w:rsidRPr="00237591">
        <w:rPr>
          <w:lang w:val="en-ZA"/>
        </w:rPr>
        <w:t>policies and processes</w:t>
      </w:r>
      <w:r w:rsidR="00197AD6" w:rsidRPr="00237591">
        <w:rPr>
          <w:lang w:val="en-ZA"/>
        </w:rPr>
        <w:t>.</w:t>
      </w:r>
    </w:p>
    <w:p w14:paraId="602C4593" w14:textId="77777777" w:rsidR="00237591" w:rsidRDefault="003F252E" w:rsidP="00D80C1E">
      <w:pPr>
        <w:pStyle w:val="ListParagraph"/>
        <w:numPr>
          <w:ilvl w:val="1"/>
          <w:numId w:val="12"/>
        </w:numPr>
        <w:rPr>
          <w:lang w:val="en-ZA"/>
        </w:rPr>
      </w:pPr>
      <w:r w:rsidRPr="00237591">
        <w:rPr>
          <w:lang w:val="en-ZA"/>
        </w:rPr>
        <w:t xml:space="preserve">Work through the document to </w:t>
      </w:r>
      <w:r w:rsidR="002634C2" w:rsidRPr="00237591">
        <w:rPr>
          <w:lang w:val="en-ZA"/>
        </w:rPr>
        <w:t xml:space="preserve">identify good practice in </w:t>
      </w:r>
      <w:r w:rsidR="00197AD6" w:rsidRPr="00237591">
        <w:rPr>
          <w:lang w:val="en-ZA"/>
        </w:rPr>
        <w:t>HR documentation and processes.</w:t>
      </w:r>
    </w:p>
    <w:p w14:paraId="60F81924" w14:textId="0170C7A8" w:rsidR="00237591" w:rsidRDefault="00536AC3" w:rsidP="00D80C1E">
      <w:pPr>
        <w:pStyle w:val="ListParagraph"/>
        <w:numPr>
          <w:ilvl w:val="1"/>
          <w:numId w:val="12"/>
        </w:numPr>
        <w:rPr>
          <w:lang w:val="en-ZA"/>
        </w:rPr>
      </w:pPr>
      <w:r w:rsidRPr="00237591">
        <w:rPr>
          <w:lang w:val="en-ZA"/>
        </w:rPr>
        <w:t>Use relevant templates</w:t>
      </w:r>
      <w:r w:rsidR="00237591">
        <w:rPr>
          <w:lang w:val="en-ZA"/>
        </w:rPr>
        <w:t xml:space="preserve"> and examples</w:t>
      </w:r>
      <w:r w:rsidR="00145D4D" w:rsidRPr="00237591">
        <w:rPr>
          <w:lang w:val="en-ZA"/>
        </w:rPr>
        <w:t xml:space="preserve"> (provided in the </w:t>
      </w:r>
      <w:r w:rsidR="00A97573">
        <w:rPr>
          <w:lang w:val="en-ZA"/>
        </w:rPr>
        <w:t xml:space="preserve">document and as </w:t>
      </w:r>
      <w:r w:rsidR="00237591">
        <w:rPr>
          <w:lang w:val="en-ZA"/>
        </w:rPr>
        <w:t>a</w:t>
      </w:r>
      <w:r w:rsidR="00145D4D" w:rsidRPr="00237591">
        <w:rPr>
          <w:lang w:val="en-ZA"/>
        </w:rPr>
        <w:t>ppendices)</w:t>
      </w:r>
      <w:r w:rsidRPr="00237591">
        <w:rPr>
          <w:lang w:val="en-ZA"/>
        </w:rPr>
        <w:t xml:space="preserve"> to </w:t>
      </w:r>
      <w:r w:rsidR="00145D4D" w:rsidRPr="00237591">
        <w:rPr>
          <w:lang w:val="en-ZA"/>
        </w:rPr>
        <w:t>develop or review HR policies</w:t>
      </w:r>
      <w:r w:rsidR="00DA1A4B" w:rsidRPr="00237591">
        <w:rPr>
          <w:lang w:val="en-ZA"/>
        </w:rPr>
        <w:t xml:space="preserve"> or processes</w:t>
      </w:r>
      <w:r w:rsidR="00197AD6" w:rsidRPr="00237591">
        <w:rPr>
          <w:lang w:val="en-ZA"/>
        </w:rPr>
        <w:t>.</w:t>
      </w:r>
    </w:p>
    <w:p w14:paraId="76543399" w14:textId="1066743E" w:rsidR="00237591" w:rsidRDefault="00145D4D" w:rsidP="00D80C1E">
      <w:pPr>
        <w:pStyle w:val="ListParagraph"/>
        <w:numPr>
          <w:ilvl w:val="1"/>
          <w:numId w:val="12"/>
        </w:numPr>
        <w:rPr>
          <w:lang w:val="en-ZA"/>
        </w:rPr>
      </w:pPr>
      <w:r w:rsidRPr="00237591">
        <w:rPr>
          <w:lang w:val="en-ZA"/>
        </w:rPr>
        <w:t>Re</w:t>
      </w:r>
      <w:r w:rsidR="000143B8" w:rsidRPr="00237591">
        <w:rPr>
          <w:lang w:val="en-ZA"/>
        </w:rPr>
        <w:t>view institutional processes to support p</w:t>
      </w:r>
      <w:r w:rsidR="00045D04" w:rsidRPr="00237591">
        <w:rPr>
          <w:lang w:val="en-ZA"/>
        </w:rPr>
        <w:t xml:space="preserve">olicy development, </w:t>
      </w:r>
      <w:r w:rsidR="003613FB" w:rsidRPr="00237591">
        <w:rPr>
          <w:lang w:val="en-ZA"/>
        </w:rPr>
        <w:t xml:space="preserve">monitoring and evaluation, </w:t>
      </w:r>
      <w:r w:rsidR="00045D04" w:rsidRPr="00237591">
        <w:rPr>
          <w:lang w:val="en-ZA"/>
        </w:rPr>
        <w:t>review, and approval processes</w:t>
      </w:r>
      <w:r w:rsidR="00197AD6" w:rsidRPr="00237591">
        <w:rPr>
          <w:lang w:val="en-ZA"/>
        </w:rPr>
        <w:t>.</w:t>
      </w:r>
    </w:p>
    <w:p w14:paraId="7BE48C1D" w14:textId="6C21D1F7" w:rsidR="00045D04" w:rsidRPr="00237591" w:rsidRDefault="003613FB" w:rsidP="00D80C1E">
      <w:pPr>
        <w:pStyle w:val="ListParagraph"/>
        <w:numPr>
          <w:ilvl w:val="1"/>
          <w:numId w:val="12"/>
        </w:numPr>
        <w:rPr>
          <w:lang w:val="en-ZA"/>
        </w:rPr>
      </w:pPr>
      <w:r w:rsidRPr="00237591">
        <w:rPr>
          <w:lang w:val="en-ZA"/>
        </w:rPr>
        <w:t xml:space="preserve">Adjust institutional </w:t>
      </w:r>
      <w:r w:rsidR="00966F82" w:rsidRPr="00237591">
        <w:rPr>
          <w:lang w:val="en-ZA"/>
        </w:rPr>
        <w:t>pr</w:t>
      </w:r>
      <w:r w:rsidR="00237591">
        <w:rPr>
          <w:lang w:val="en-ZA"/>
        </w:rPr>
        <w:t>ocesses</w:t>
      </w:r>
      <w:r w:rsidR="00966F82" w:rsidRPr="00237591">
        <w:rPr>
          <w:lang w:val="en-ZA"/>
        </w:rPr>
        <w:t xml:space="preserve"> to support </w:t>
      </w:r>
      <w:r w:rsidR="00455185">
        <w:rPr>
          <w:lang w:val="en-ZA"/>
        </w:rPr>
        <w:t>sound</w:t>
      </w:r>
      <w:r w:rsidR="00455185" w:rsidRPr="00237591">
        <w:rPr>
          <w:lang w:val="en-ZA"/>
        </w:rPr>
        <w:t xml:space="preserve"> </w:t>
      </w:r>
      <w:r w:rsidR="0011283F" w:rsidRPr="00237591">
        <w:rPr>
          <w:lang w:val="en-ZA"/>
        </w:rPr>
        <w:t>practices in HR management</w:t>
      </w:r>
      <w:r w:rsidR="000143B8" w:rsidRPr="00237591">
        <w:rPr>
          <w:lang w:val="en-ZA"/>
        </w:rPr>
        <w:t>.</w:t>
      </w:r>
    </w:p>
    <w:p w14:paraId="4E72A994" w14:textId="485C25C1" w:rsidR="00CF3DE7" w:rsidRDefault="00CF3DE7" w:rsidP="00B06300">
      <w:pPr>
        <w:pStyle w:val="Heading2"/>
      </w:pPr>
      <w:r>
        <w:t>Core HR domains</w:t>
      </w:r>
    </w:p>
    <w:p w14:paraId="6A4A7DAB" w14:textId="4B5D22CF" w:rsidR="0089089D" w:rsidRDefault="0089089D" w:rsidP="00CA2738">
      <w:pPr>
        <w:rPr>
          <w:lang w:val="en-ZA"/>
        </w:rPr>
      </w:pPr>
      <w:r>
        <w:rPr>
          <w:lang w:val="en-ZA"/>
        </w:rPr>
        <w:t xml:space="preserve">Traditionally, human resource management </w:t>
      </w:r>
      <w:r w:rsidR="00455185">
        <w:rPr>
          <w:lang w:val="en-ZA"/>
        </w:rPr>
        <w:t>has been</w:t>
      </w:r>
      <w:r w:rsidR="00BD5C08">
        <w:rPr>
          <w:lang w:val="en-ZA"/>
        </w:rPr>
        <w:t xml:space="preserve"> focus</w:t>
      </w:r>
      <w:r w:rsidR="00455185">
        <w:rPr>
          <w:lang w:val="en-ZA"/>
        </w:rPr>
        <w:t>ed</w:t>
      </w:r>
      <w:r w:rsidR="00BD5C08">
        <w:rPr>
          <w:lang w:val="en-ZA"/>
        </w:rPr>
        <w:t xml:space="preserve"> on recruitment, overseeing fair compensation, </w:t>
      </w:r>
      <w:r w:rsidR="00BE3CCC">
        <w:rPr>
          <w:lang w:val="en-ZA"/>
        </w:rPr>
        <w:t xml:space="preserve">ensuring that staff have opportunities for professional development, creating a safe and supportive work environment, facilitating labour relations, and ensuring compliance with national legislation and policies on labour. </w:t>
      </w:r>
      <w:r w:rsidR="00455185">
        <w:rPr>
          <w:lang w:val="en-ZA"/>
        </w:rPr>
        <w:t>R</w:t>
      </w:r>
      <w:r w:rsidR="00AE7118">
        <w:rPr>
          <w:lang w:val="en-ZA"/>
        </w:rPr>
        <w:t>ecent years</w:t>
      </w:r>
      <w:r w:rsidR="00455185">
        <w:rPr>
          <w:lang w:val="en-ZA"/>
        </w:rPr>
        <w:t xml:space="preserve"> have seen </w:t>
      </w:r>
      <w:r w:rsidR="00AE7118">
        <w:rPr>
          <w:lang w:val="en-ZA"/>
        </w:rPr>
        <w:t>a stronger focus on targeted talent management</w:t>
      </w:r>
      <w:r w:rsidR="00455185">
        <w:rPr>
          <w:lang w:val="en-ZA"/>
        </w:rPr>
        <w:t>, which</w:t>
      </w:r>
      <w:r w:rsidR="00AE7118">
        <w:rPr>
          <w:lang w:val="en-ZA"/>
        </w:rPr>
        <w:t xml:space="preserve"> has added another layer to the tasks of human resource professionals</w:t>
      </w:r>
      <w:r w:rsidR="00C427FE">
        <w:rPr>
          <w:lang w:val="en-ZA"/>
        </w:rPr>
        <w:t xml:space="preserve">, encouraging them to take a more strategic approach to managing human resources. </w:t>
      </w:r>
    </w:p>
    <w:p w14:paraId="08510389" w14:textId="77777777" w:rsidR="0018669B" w:rsidRDefault="0018669B" w:rsidP="00CA2738">
      <w:pPr>
        <w:rPr>
          <w:lang w:val="en-ZA"/>
        </w:rPr>
      </w:pPr>
    </w:p>
    <w:p w14:paraId="01FDBD34" w14:textId="3A4F8888" w:rsidR="00C427FE" w:rsidRPr="00206404" w:rsidRDefault="0018669B" w:rsidP="00CA2738">
      <w:pPr>
        <w:pStyle w:val="FigureReference"/>
        <w:rPr>
          <w:lang w:val="en-ZA"/>
        </w:rPr>
      </w:pPr>
      <w:r>
        <w:rPr>
          <w:lang w:val="en-ZA"/>
        </w:rPr>
        <w:t>Human resource</w:t>
      </w:r>
      <w:r w:rsidR="00206404">
        <w:rPr>
          <w:lang w:val="en-ZA"/>
        </w:rPr>
        <w:t xml:space="preserve"> management branches</w:t>
      </w:r>
    </w:p>
    <w:p w14:paraId="650EDBB7" w14:textId="4B083A8A" w:rsidR="0089089D" w:rsidRPr="0089089D" w:rsidRDefault="0089089D" w:rsidP="00CA2738">
      <w:pPr>
        <w:rPr>
          <w:b/>
          <w:bCs/>
          <w:lang w:val="en-ZA"/>
        </w:rPr>
      </w:pPr>
      <w:r>
        <w:rPr>
          <w:noProof/>
          <w:lang w:val="en-ZA"/>
        </w:rPr>
        <w:drawing>
          <wp:inline distT="0" distB="0" distL="0" distR="0" wp14:anchorId="15BAA61D" wp14:editId="3483622E">
            <wp:extent cx="5588239" cy="2909349"/>
            <wp:effectExtent l="0" t="0" r="0" b="5715"/>
            <wp:docPr id="279051571" name="Picture 27905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22597" cy="2927237"/>
                    </a:xfrm>
                    <a:prstGeom prst="rect">
                      <a:avLst/>
                    </a:prstGeom>
                    <a:noFill/>
                  </pic:spPr>
                </pic:pic>
              </a:graphicData>
            </a:graphic>
          </wp:inline>
        </w:drawing>
      </w:r>
    </w:p>
    <w:p w14:paraId="2DC71F4B" w14:textId="77777777" w:rsidR="0089089D" w:rsidRDefault="0089089D" w:rsidP="00CA2738">
      <w:pPr>
        <w:rPr>
          <w:lang w:val="en-ZA"/>
        </w:rPr>
      </w:pPr>
    </w:p>
    <w:p w14:paraId="63920A2B" w14:textId="23142B0D" w:rsidR="00126EF5" w:rsidRDefault="00455185" w:rsidP="00CA2738">
      <w:pPr>
        <w:rPr>
          <w:lang w:val="en-ZA"/>
        </w:rPr>
      </w:pPr>
      <w:r>
        <w:rPr>
          <w:lang w:val="en-ZA"/>
        </w:rPr>
        <w:t>L</w:t>
      </w:r>
      <w:r w:rsidR="00CD447F">
        <w:rPr>
          <w:lang w:val="en-ZA"/>
        </w:rPr>
        <w:t xml:space="preserve">ooking more closely at </w:t>
      </w:r>
      <w:r w:rsidR="008867C0">
        <w:rPr>
          <w:lang w:val="en-ZA"/>
        </w:rPr>
        <w:t>the</w:t>
      </w:r>
      <w:r w:rsidR="00622F19">
        <w:rPr>
          <w:lang w:val="en-ZA"/>
        </w:rPr>
        <w:t xml:space="preserve"> </w:t>
      </w:r>
      <w:r w:rsidR="00CD447F">
        <w:rPr>
          <w:lang w:val="en-ZA"/>
        </w:rPr>
        <w:t>HR</w:t>
      </w:r>
      <w:r w:rsidR="00622F19">
        <w:rPr>
          <w:lang w:val="en-ZA"/>
        </w:rPr>
        <w:t xml:space="preserve"> functions</w:t>
      </w:r>
      <w:r>
        <w:rPr>
          <w:lang w:val="en-ZA"/>
        </w:rPr>
        <w:t xml:space="preserve"> depicted above</w:t>
      </w:r>
      <w:r w:rsidR="00622F19">
        <w:rPr>
          <w:lang w:val="en-ZA"/>
        </w:rPr>
        <w:t>, two broad domains stand out</w:t>
      </w:r>
      <w:r>
        <w:rPr>
          <w:lang w:val="en-ZA"/>
        </w:rPr>
        <w:t>, i.e.</w:t>
      </w:r>
      <w:r w:rsidR="00622F19">
        <w:rPr>
          <w:lang w:val="en-ZA"/>
        </w:rPr>
        <w:t xml:space="preserve"> </w:t>
      </w:r>
      <w:r w:rsidR="007462E0">
        <w:rPr>
          <w:lang w:val="en-ZA"/>
        </w:rPr>
        <w:t xml:space="preserve">serving individual employees and the work environment, and ensuring strategic alignment of HR functions with institutional and national priorities. </w:t>
      </w:r>
      <w:r w:rsidR="00126EF5">
        <w:rPr>
          <w:lang w:val="en-ZA"/>
        </w:rPr>
        <w:t xml:space="preserve">Figure </w:t>
      </w:r>
      <w:r w:rsidR="00206404">
        <w:rPr>
          <w:lang w:val="en-ZA"/>
        </w:rPr>
        <w:t>2</w:t>
      </w:r>
      <w:r w:rsidR="00126EF5">
        <w:rPr>
          <w:lang w:val="en-ZA"/>
        </w:rPr>
        <w:t xml:space="preserve"> illustrates the</w:t>
      </w:r>
      <w:r w:rsidR="0013250D">
        <w:rPr>
          <w:lang w:val="en-ZA"/>
        </w:rPr>
        <w:t>se</w:t>
      </w:r>
      <w:r w:rsidR="00126EF5">
        <w:rPr>
          <w:lang w:val="en-ZA"/>
        </w:rPr>
        <w:t xml:space="preserve"> core HR domains. On an individual </w:t>
      </w:r>
      <w:r w:rsidR="008849B4">
        <w:rPr>
          <w:lang w:val="en-ZA"/>
        </w:rPr>
        <w:t xml:space="preserve">and work environment </w:t>
      </w:r>
      <w:r w:rsidR="00126EF5">
        <w:rPr>
          <w:lang w:val="en-ZA"/>
        </w:rPr>
        <w:t xml:space="preserve">level, HR policies and procedures focus on the conditions of service for each employee, as well as providing opportunities for individual development and support. HR professionals are also tasked with ensuring that policies and procedures </w:t>
      </w:r>
      <w:r w:rsidR="00322944">
        <w:rPr>
          <w:lang w:val="en-ZA"/>
        </w:rPr>
        <w:t>support</w:t>
      </w:r>
      <w:r w:rsidR="00126EF5">
        <w:rPr>
          <w:lang w:val="en-ZA"/>
        </w:rPr>
        <w:t xml:space="preserve"> a safe, and value-driven work environment, and at the broader, organi</w:t>
      </w:r>
      <w:r>
        <w:rPr>
          <w:lang w:val="en-ZA"/>
        </w:rPr>
        <w:t>s</w:t>
      </w:r>
      <w:r w:rsidR="00126EF5">
        <w:rPr>
          <w:lang w:val="en-ZA"/>
        </w:rPr>
        <w:t xml:space="preserve">ational level, they oversee </w:t>
      </w:r>
      <w:r w:rsidR="00126EF5">
        <w:rPr>
          <w:lang w:val="en-ZA"/>
        </w:rPr>
        <w:lastRenderedPageBreak/>
        <w:t xml:space="preserve">the alignment of HR-related work with the strategic pursuits of the institution. </w:t>
      </w:r>
      <w:r w:rsidR="0013250D">
        <w:rPr>
          <w:lang w:val="en-ZA"/>
        </w:rPr>
        <w:t>T</w:t>
      </w:r>
      <w:r w:rsidR="00126EF5">
        <w:rPr>
          <w:lang w:val="en-ZA"/>
        </w:rPr>
        <w:t xml:space="preserve">hese domains are discussed in more detail in the following sections. </w:t>
      </w:r>
    </w:p>
    <w:p w14:paraId="3E7BF6D0" w14:textId="77777777" w:rsidR="000E7870" w:rsidRDefault="000E7870" w:rsidP="00CA2738">
      <w:pPr>
        <w:rPr>
          <w:lang w:val="en-ZA"/>
        </w:rPr>
      </w:pPr>
    </w:p>
    <w:p w14:paraId="74066C24" w14:textId="2454AADF" w:rsidR="00C13970" w:rsidRPr="00C13970" w:rsidRDefault="006C4957" w:rsidP="00B06300">
      <w:pPr>
        <w:pStyle w:val="FigureReference"/>
        <w:rPr>
          <w:lang w:val="en-ZA"/>
        </w:rPr>
      </w:pPr>
      <w:r>
        <w:rPr>
          <w:lang w:val="en-ZA"/>
        </w:rPr>
        <w:t xml:space="preserve">Core HR </w:t>
      </w:r>
      <w:r w:rsidRPr="00B06300">
        <w:t>domains</w:t>
      </w:r>
    </w:p>
    <w:p w14:paraId="5A082437" w14:textId="75343B8E" w:rsidR="00CF3DE7" w:rsidRDefault="002A0D96" w:rsidP="00CA2738">
      <w:pPr>
        <w:rPr>
          <w:lang w:val="en-ZA"/>
        </w:rPr>
      </w:pPr>
      <w:r>
        <w:rPr>
          <w:noProof/>
          <w:lang w:val="en-ZA"/>
        </w:rPr>
        <w:drawing>
          <wp:inline distT="0" distB="0" distL="0" distR="0" wp14:anchorId="6FDDB0F1" wp14:editId="7CFA8A0B">
            <wp:extent cx="5255812" cy="2405269"/>
            <wp:effectExtent l="0" t="0" r="21590" b="14605"/>
            <wp:docPr id="210615570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01F8D42" w14:textId="77777777" w:rsidR="00444D80" w:rsidRDefault="00444D80" w:rsidP="00CA2738">
      <w:pPr>
        <w:rPr>
          <w:lang w:val="en-ZA"/>
        </w:rPr>
      </w:pPr>
    </w:p>
    <w:p w14:paraId="2D5EA6AB" w14:textId="12506227" w:rsidR="00A83BD9" w:rsidRDefault="00A25F25" w:rsidP="00004E3F">
      <w:pPr>
        <w:pStyle w:val="Heading3"/>
      </w:pPr>
      <w:r>
        <w:t xml:space="preserve">HR and the work </w:t>
      </w:r>
      <w:r w:rsidR="009F78F6">
        <w:t>environment at i</w:t>
      </w:r>
      <w:r w:rsidR="00A075E9" w:rsidRPr="00B06300">
        <w:t>ndividual</w:t>
      </w:r>
      <w:r w:rsidR="00A075E9">
        <w:t xml:space="preserve"> </w:t>
      </w:r>
      <w:r w:rsidR="007C4217">
        <w:t xml:space="preserve">level </w:t>
      </w:r>
    </w:p>
    <w:p w14:paraId="341F710D" w14:textId="4F02E6E5" w:rsidR="005B7C26" w:rsidRDefault="00482B5E" w:rsidP="00CA2738">
      <w:pPr>
        <w:rPr>
          <w:lang w:val="en-ZA"/>
        </w:rPr>
      </w:pPr>
      <w:r>
        <w:rPr>
          <w:lang w:val="en-ZA"/>
        </w:rPr>
        <w:t xml:space="preserve">The </w:t>
      </w:r>
      <w:r w:rsidRPr="00916B43">
        <w:rPr>
          <w:lang w:val="en-ZA"/>
        </w:rPr>
        <w:t xml:space="preserve">Conditions of </w:t>
      </w:r>
      <w:r>
        <w:rPr>
          <w:lang w:val="en-ZA"/>
        </w:rPr>
        <w:t>S</w:t>
      </w:r>
      <w:r w:rsidRPr="00916B43">
        <w:rPr>
          <w:lang w:val="en-ZA"/>
        </w:rPr>
        <w:t xml:space="preserve">ervice </w:t>
      </w:r>
      <w:r>
        <w:rPr>
          <w:lang w:val="en-ZA"/>
        </w:rPr>
        <w:t>(</w:t>
      </w:r>
      <w:proofErr w:type="spellStart"/>
      <w:r>
        <w:rPr>
          <w:lang w:val="en-ZA"/>
        </w:rPr>
        <w:t>CoS</w:t>
      </w:r>
      <w:proofErr w:type="spellEnd"/>
      <w:r>
        <w:rPr>
          <w:lang w:val="en-ZA"/>
        </w:rPr>
        <w:t>) document lies a</w:t>
      </w:r>
      <w:r w:rsidR="00FA1E1D">
        <w:rPr>
          <w:lang w:val="en-ZA"/>
        </w:rPr>
        <w:t xml:space="preserve">t the </w:t>
      </w:r>
      <w:r>
        <w:rPr>
          <w:lang w:val="en-ZA"/>
        </w:rPr>
        <w:t xml:space="preserve">heart </w:t>
      </w:r>
      <w:r w:rsidR="00FA1E1D">
        <w:rPr>
          <w:lang w:val="en-ZA"/>
        </w:rPr>
        <w:t xml:space="preserve">of </w:t>
      </w:r>
      <w:r w:rsidR="00226871">
        <w:rPr>
          <w:lang w:val="en-ZA"/>
        </w:rPr>
        <w:t xml:space="preserve">HR services </w:t>
      </w:r>
      <w:r>
        <w:rPr>
          <w:lang w:val="en-ZA"/>
        </w:rPr>
        <w:t>and</w:t>
      </w:r>
      <w:r w:rsidR="009E1136">
        <w:rPr>
          <w:lang w:val="en-ZA"/>
        </w:rPr>
        <w:t xml:space="preserve"> </w:t>
      </w:r>
      <w:r w:rsidR="00916B43" w:rsidRPr="00916B43">
        <w:rPr>
          <w:lang w:val="en-ZA"/>
        </w:rPr>
        <w:t>outline</w:t>
      </w:r>
      <w:r w:rsidR="009E1136">
        <w:rPr>
          <w:lang w:val="en-ZA"/>
        </w:rPr>
        <w:t>s</w:t>
      </w:r>
      <w:r w:rsidR="00916B43" w:rsidRPr="00916B43">
        <w:rPr>
          <w:lang w:val="en-ZA"/>
        </w:rPr>
        <w:t xml:space="preserve"> the expectations</w:t>
      </w:r>
      <w:r w:rsidR="009C0AC3">
        <w:rPr>
          <w:lang w:val="en-ZA"/>
        </w:rPr>
        <w:t xml:space="preserve">, </w:t>
      </w:r>
      <w:r w:rsidR="009C0AC3" w:rsidRPr="009C0AC3">
        <w:rPr>
          <w:lang w:val="en-ZA"/>
        </w:rPr>
        <w:t>rules, regulations, and agreements</w:t>
      </w:r>
      <w:r w:rsidR="00EE289B">
        <w:rPr>
          <w:lang w:val="en-ZA"/>
        </w:rPr>
        <w:t xml:space="preserve"> </w:t>
      </w:r>
      <w:r>
        <w:rPr>
          <w:lang w:val="en-ZA"/>
        </w:rPr>
        <w:t>inherent to</w:t>
      </w:r>
      <w:r w:rsidR="00EE289B">
        <w:rPr>
          <w:lang w:val="en-ZA"/>
        </w:rPr>
        <w:t xml:space="preserve"> employee appointments</w:t>
      </w:r>
      <w:r w:rsidR="00916B43" w:rsidRPr="00916B43">
        <w:rPr>
          <w:lang w:val="en-ZA"/>
        </w:rPr>
        <w:t xml:space="preserve">. </w:t>
      </w:r>
      <w:r w:rsidR="009E1136">
        <w:rPr>
          <w:lang w:val="en-ZA"/>
        </w:rPr>
        <w:t xml:space="preserve">Such documents </w:t>
      </w:r>
      <w:r>
        <w:rPr>
          <w:lang w:val="en-ZA"/>
        </w:rPr>
        <w:t>ought to</w:t>
      </w:r>
      <w:r w:rsidRPr="00916B43">
        <w:rPr>
          <w:lang w:val="en-ZA"/>
        </w:rPr>
        <w:t xml:space="preserve"> </w:t>
      </w:r>
      <w:r w:rsidR="00916B43" w:rsidRPr="00916B43">
        <w:rPr>
          <w:lang w:val="en-ZA"/>
        </w:rPr>
        <w:t>be comprehensive</w:t>
      </w:r>
      <w:r w:rsidR="00445019">
        <w:rPr>
          <w:lang w:val="en-ZA"/>
        </w:rPr>
        <w:t>,</w:t>
      </w:r>
      <w:r w:rsidR="00916B43" w:rsidRPr="00916B43">
        <w:rPr>
          <w:lang w:val="en-ZA"/>
        </w:rPr>
        <w:t xml:space="preserve"> legally compliant</w:t>
      </w:r>
      <w:r w:rsidR="00445019">
        <w:rPr>
          <w:lang w:val="en-ZA"/>
        </w:rPr>
        <w:t>, and tailored to specific employees</w:t>
      </w:r>
      <w:r w:rsidR="009E1136">
        <w:rPr>
          <w:lang w:val="en-ZA"/>
        </w:rPr>
        <w:t xml:space="preserve">. </w:t>
      </w:r>
      <w:proofErr w:type="spellStart"/>
      <w:r w:rsidR="00762BC0">
        <w:rPr>
          <w:lang w:val="en-ZA"/>
        </w:rPr>
        <w:t>CoS</w:t>
      </w:r>
      <w:proofErr w:type="spellEnd"/>
      <w:r w:rsidR="00762BC0">
        <w:rPr>
          <w:lang w:val="en-ZA"/>
        </w:rPr>
        <w:t xml:space="preserve"> documents </w:t>
      </w:r>
      <w:r>
        <w:rPr>
          <w:lang w:val="en-ZA"/>
        </w:rPr>
        <w:t xml:space="preserve">must furthermore </w:t>
      </w:r>
      <w:r w:rsidR="00762BC0">
        <w:rPr>
          <w:lang w:val="en-ZA"/>
        </w:rPr>
        <w:t xml:space="preserve">be subject to relevant </w:t>
      </w:r>
      <w:r w:rsidR="006D0A3F">
        <w:rPr>
          <w:lang w:val="en-ZA"/>
        </w:rPr>
        <w:t xml:space="preserve">legislation and institutional statutes. </w:t>
      </w:r>
      <w:r w:rsidR="009E1136">
        <w:rPr>
          <w:lang w:val="en-ZA"/>
        </w:rPr>
        <w:t xml:space="preserve">While application differs </w:t>
      </w:r>
      <w:r w:rsidR="006764E7">
        <w:rPr>
          <w:lang w:val="en-ZA"/>
        </w:rPr>
        <w:t xml:space="preserve">between </w:t>
      </w:r>
      <w:r w:rsidR="002D392B">
        <w:rPr>
          <w:lang w:val="en-ZA"/>
        </w:rPr>
        <w:t>institutions</w:t>
      </w:r>
      <w:r w:rsidR="006764E7">
        <w:rPr>
          <w:lang w:val="en-ZA"/>
        </w:rPr>
        <w:t xml:space="preserve">, a comprehensive </w:t>
      </w:r>
      <w:proofErr w:type="spellStart"/>
      <w:r w:rsidR="006764E7">
        <w:rPr>
          <w:lang w:val="en-ZA"/>
        </w:rPr>
        <w:t>CoS</w:t>
      </w:r>
      <w:proofErr w:type="spellEnd"/>
      <w:r w:rsidR="006764E7">
        <w:rPr>
          <w:lang w:val="en-ZA"/>
        </w:rPr>
        <w:t xml:space="preserve"> document would </w:t>
      </w:r>
      <w:r w:rsidR="00916B43" w:rsidRPr="00916B43">
        <w:rPr>
          <w:lang w:val="en-ZA"/>
        </w:rPr>
        <w:t>typically include the elements</w:t>
      </w:r>
      <w:r>
        <w:rPr>
          <w:lang w:val="en-ZA"/>
        </w:rPr>
        <w:t xml:space="preserve"> below.</w:t>
      </w:r>
    </w:p>
    <w:p w14:paraId="5E7C6469" w14:textId="24CB8B05" w:rsidR="007F333D" w:rsidRDefault="00D4790C" w:rsidP="00004E3F">
      <w:pPr>
        <w:pStyle w:val="Heading4"/>
        <w:rPr>
          <w:lang w:val="en-ZA"/>
        </w:rPr>
      </w:pPr>
      <w:r w:rsidRPr="00D4790C">
        <w:rPr>
          <w:lang w:val="en-ZA"/>
        </w:rPr>
        <w:t xml:space="preserve">The </w:t>
      </w:r>
      <w:r w:rsidRPr="00004E3F">
        <w:t>nature</w:t>
      </w:r>
      <w:r w:rsidRPr="00D4790C">
        <w:rPr>
          <w:lang w:val="en-ZA"/>
        </w:rPr>
        <w:t xml:space="preserve"> of the appointment</w:t>
      </w:r>
      <w:r>
        <w:rPr>
          <w:lang w:val="en-ZA"/>
        </w:rPr>
        <w:t xml:space="preserve"> (</w:t>
      </w:r>
      <w:r w:rsidR="00916B43" w:rsidRPr="00D4790C">
        <w:rPr>
          <w:lang w:val="en-ZA"/>
        </w:rPr>
        <w:t>permanent, part-time, etc.)</w:t>
      </w:r>
    </w:p>
    <w:p w14:paraId="1BB0B0FB" w14:textId="43503127" w:rsidR="005B7C26" w:rsidRPr="005B7C26" w:rsidRDefault="005B7C26" w:rsidP="00CA2738">
      <w:pPr>
        <w:rPr>
          <w:lang w:val="en-ZA"/>
        </w:rPr>
      </w:pPr>
      <w:r>
        <w:rPr>
          <w:lang w:val="en-ZA"/>
        </w:rPr>
        <w:t>I</w:t>
      </w:r>
      <w:r w:rsidRPr="005B7C26">
        <w:rPr>
          <w:lang w:val="en-ZA"/>
        </w:rPr>
        <w:t xml:space="preserve">nstitutions must clearly </w:t>
      </w:r>
      <w:r w:rsidRPr="006A6972">
        <w:rPr>
          <w:b/>
          <w:bCs/>
          <w:lang w:val="en-ZA"/>
        </w:rPr>
        <w:t xml:space="preserve">define and classify </w:t>
      </w:r>
      <w:r w:rsidR="00445019" w:rsidRPr="006A6972">
        <w:rPr>
          <w:b/>
          <w:bCs/>
          <w:lang w:val="en-ZA"/>
        </w:rPr>
        <w:t>the appointment type</w:t>
      </w:r>
      <w:r w:rsidR="00445019">
        <w:rPr>
          <w:lang w:val="en-ZA"/>
        </w:rPr>
        <w:t xml:space="preserve"> relevant to </w:t>
      </w:r>
      <w:r w:rsidR="00482B5E">
        <w:rPr>
          <w:lang w:val="en-ZA"/>
        </w:rPr>
        <w:t xml:space="preserve">their </w:t>
      </w:r>
      <w:r w:rsidR="00445019">
        <w:rPr>
          <w:lang w:val="en-ZA"/>
        </w:rPr>
        <w:t>employees</w:t>
      </w:r>
      <w:r w:rsidRPr="005B7C26">
        <w:rPr>
          <w:lang w:val="en-ZA"/>
        </w:rPr>
        <w:t xml:space="preserve">. This requires providing detailed definitions of permanent, </w:t>
      </w:r>
      <w:r w:rsidR="006271E1">
        <w:rPr>
          <w:lang w:val="en-ZA"/>
        </w:rPr>
        <w:t>short- or medium-term contractual</w:t>
      </w:r>
      <w:r w:rsidRPr="005B7C26">
        <w:rPr>
          <w:lang w:val="en-ZA"/>
        </w:rPr>
        <w:t>, casual</w:t>
      </w:r>
      <w:r w:rsidR="006A6972">
        <w:rPr>
          <w:lang w:val="en-ZA"/>
        </w:rPr>
        <w:t xml:space="preserve">, or other </w:t>
      </w:r>
      <w:r w:rsidR="00482B5E">
        <w:rPr>
          <w:lang w:val="en-ZA"/>
        </w:rPr>
        <w:t xml:space="preserve">appointment </w:t>
      </w:r>
      <w:r w:rsidR="006A6972">
        <w:rPr>
          <w:lang w:val="en-ZA"/>
        </w:rPr>
        <w:t>type</w:t>
      </w:r>
      <w:r w:rsidRPr="005B7C26">
        <w:rPr>
          <w:lang w:val="en-ZA"/>
        </w:rPr>
        <w:t>s, explicitly outlining their unique characteristics and associated terms of employment. Furthermore, th</w:t>
      </w:r>
      <w:r w:rsidR="006A6972">
        <w:rPr>
          <w:lang w:val="en-ZA"/>
        </w:rPr>
        <w:t xml:space="preserve">is section </w:t>
      </w:r>
      <w:r w:rsidRPr="005B7C26">
        <w:rPr>
          <w:lang w:val="en-ZA"/>
        </w:rPr>
        <w:t xml:space="preserve">should specify any </w:t>
      </w:r>
      <w:r w:rsidRPr="006A6972">
        <w:rPr>
          <w:b/>
          <w:bCs/>
          <w:lang w:val="en-ZA"/>
        </w:rPr>
        <w:t>probationary periods</w:t>
      </w:r>
      <w:r w:rsidRPr="005B7C26">
        <w:rPr>
          <w:lang w:val="en-ZA"/>
        </w:rPr>
        <w:t xml:space="preserve"> applicable to </w:t>
      </w:r>
      <w:r w:rsidR="006A6972">
        <w:rPr>
          <w:lang w:val="en-ZA"/>
        </w:rPr>
        <w:t>the</w:t>
      </w:r>
      <w:r w:rsidRPr="005B7C26">
        <w:rPr>
          <w:lang w:val="en-ZA"/>
        </w:rPr>
        <w:t xml:space="preserve"> appointment category</w:t>
      </w:r>
      <w:r w:rsidR="007053E9">
        <w:rPr>
          <w:lang w:val="en-ZA"/>
        </w:rPr>
        <w:t>, as well as commencement dates and duration of service</w:t>
      </w:r>
      <w:r w:rsidRPr="005B7C26">
        <w:rPr>
          <w:lang w:val="en-ZA"/>
        </w:rPr>
        <w:t>.</w:t>
      </w:r>
    </w:p>
    <w:p w14:paraId="648251AB" w14:textId="77777777" w:rsidR="005B7C26" w:rsidRPr="005B7C26" w:rsidRDefault="005B7C26" w:rsidP="00CA2738">
      <w:pPr>
        <w:rPr>
          <w:lang w:val="en-ZA"/>
        </w:rPr>
      </w:pPr>
    </w:p>
    <w:p w14:paraId="1E7A2055" w14:textId="57398BD5" w:rsidR="004E39B7" w:rsidRDefault="006A6972" w:rsidP="00CA2738">
      <w:pPr>
        <w:rPr>
          <w:lang w:val="en-ZA"/>
        </w:rPr>
      </w:pPr>
      <w:r>
        <w:rPr>
          <w:lang w:val="en-ZA"/>
        </w:rPr>
        <w:t xml:space="preserve">Ideally, </w:t>
      </w:r>
      <w:r w:rsidR="00AE6D2D">
        <w:rPr>
          <w:lang w:val="en-ZA"/>
        </w:rPr>
        <w:t>employees should also be made aware of</w:t>
      </w:r>
      <w:r w:rsidR="00BA5682">
        <w:rPr>
          <w:lang w:val="en-ZA"/>
        </w:rPr>
        <w:t xml:space="preserve"> </w:t>
      </w:r>
      <w:r w:rsidR="008578D3">
        <w:rPr>
          <w:lang w:val="en-ZA"/>
        </w:rPr>
        <w:t xml:space="preserve">their relevant </w:t>
      </w:r>
      <w:r w:rsidR="004A2E55" w:rsidRPr="001A5910">
        <w:rPr>
          <w:b/>
          <w:bCs/>
          <w:lang w:val="en-ZA"/>
        </w:rPr>
        <w:t>reporting structures</w:t>
      </w:r>
      <w:r w:rsidR="004A2E55">
        <w:rPr>
          <w:lang w:val="en-ZA"/>
        </w:rPr>
        <w:t xml:space="preserve"> within departments/units</w:t>
      </w:r>
      <w:r w:rsidR="005B7C26" w:rsidRPr="005B7C26">
        <w:rPr>
          <w:lang w:val="en-ZA"/>
        </w:rPr>
        <w:t>,</w:t>
      </w:r>
      <w:r w:rsidR="005028BC">
        <w:rPr>
          <w:lang w:val="en-ZA"/>
        </w:rPr>
        <w:t xml:space="preserve"> and institutions </w:t>
      </w:r>
      <w:r w:rsidR="005B7C26" w:rsidRPr="005B7C26">
        <w:rPr>
          <w:lang w:val="en-ZA"/>
        </w:rPr>
        <w:t xml:space="preserve">should articulate </w:t>
      </w:r>
      <w:r w:rsidR="005B7C26" w:rsidRPr="009D52C2">
        <w:rPr>
          <w:color w:val="000000" w:themeColor="text1"/>
          <w:lang w:val="en-ZA"/>
        </w:rPr>
        <w:t xml:space="preserve">their </w:t>
      </w:r>
      <w:r w:rsidR="005B7C26" w:rsidRPr="009D52C2">
        <w:rPr>
          <w:b/>
          <w:bCs/>
          <w:color w:val="000000" w:themeColor="text1"/>
          <w:lang w:val="en-ZA"/>
        </w:rPr>
        <w:t>policies concerning joint appointments</w:t>
      </w:r>
      <w:r w:rsidR="00482B5E">
        <w:rPr>
          <w:b/>
          <w:bCs/>
          <w:color w:val="000000" w:themeColor="text1"/>
          <w:lang w:val="en-ZA"/>
        </w:rPr>
        <w:t xml:space="preserve"> and</w:t>
      </w:r>
      <w:r w:rsidR="00482B5E" w:rsidRPr="009D52C2">
        <w:rPr>
          <w:b/>
          <w:bCs/>
          <w:color w:val="000000" w:themeColor="text1"/>
          <w:lang w:val="en-ZA"/>
        </w:rPr>
        <w:t xml:space="preserve"> </w:t>
      </w:r>
      <w:r w:rsidR="005B7C26" w:rsidRPr="009D52C2">
        <w:rPr>
          <w:b/>
          <w:bCs/>
          <w:color w:val="000000" w:themeColor="text1"/>
          <w:lang w:val="en-ZA"/>
        </w:rPr>
        <w:t>secondary roles</w:t>
      </w:r>
      <w:r w:rsidR="005B7C26" w:rsidRPr="009D52C2">
        <w:rPr>
          <w:color w:val="000000" w:themeColor="text1"/>
          <w:lang w:val="en-ZA"/>
        </w:rPr>
        <w:t xml:space="preserve"> held </w:t>
      </w:r>
      <w:r w:rsidR="005B7C26" w:rsidRPr="005B7C26">
        <w:rPr>
          <w:lang w:val="en-ZA"/>
        </w:rPr>
        <w:t xml:space="preserve">within or outside the university, </w:t>
      </w:r>
      <w:r w:rsidR="003B798E">
        <w:rPr>
          <w:lang w:val="en-ZA"/>
        </w:rPr>
        <w:t>including</w:t>
      </w:r>
      <w:r w:rsidR="005B7C26" w:rsidRPr="005B7C26">
        <w:rPr>
          <w:lang w:val="en-ZA"/>
        </w:rPr>
        <w:t xml:space="preserve"> any </w:t>
      </w:r>
      <w:r w:rsidR="005B7C26" w:rsidRPr="001A5910">
        <w:rPr>
          <w:b/>
          <w:bCs/>
          <w:lang w:val="en-ZA"/>
        </w:rPr>
        <w:t>limitations on concurrent employment</w:t>
      </w:r>
      <w:r w:rsidR="005B7C26" w:rsidRPr="005B7C26">
        <w:rPr>
          <w:lang w:val="en-ZA"/>
        </w:rPr>
        <w:t>.</w:t>
      </w:r>
    </w:p>
    <w:p w14:paraId="03CED2CD" w14:textId="77777777" w:rsidR="004E39B7" w:rsidRDefault="00916B43" w:rsidP="00004E3F">
      <w:pPr>
        <w:pStyle w:val="Heading4"/>
        <w:rPr>
          <w:lang w:val="en-ZA"/>
        </w:rPr>
      </w:pPr>
      <w:r w:rsidRPr="007F333D">
        <w:rPr>
          <w:lang w:val="en-ZA"/>
        </w:rPr>
        <w:t xml:space="preserve">Job </w:t>
      </w:r>
      <w:r w:rsidRPr="00004E3F">
        <w:t>title</w:t>
      </w:r>
      <w:r w:rsidRPr="007F333D">
        <w:rPr>
          <w:lang w:val="en-ZA"/>
        </w:rPr>
        <w:t xml:space="preserve"> and job description</w:t>
      </w:r>
    </w:p>
    <w:p w14:paraId="64FF3D57" w14:textId="4E78329A" w:rsidR="007053E9" w:rsidRDefault="002B2D93" w:rsidP="00CA2738">
      <w:pPr>
        <w:rPr>
          <w:lang w:val="en-ZA"/>
        </w:rPr>
      </w:pPr>
      <w:r w:rsidRPr="002B2D93">
        <w:rPr>
          <w:lang w:val="en-ZA"/>
        </w:rPr>
        <w:t>Th</w:t>
      </w:r>
      <w:r>
        <w:rPr>
          <w:lang w:val="en-ZA"/>
        </w:rPr>
        <w:t xml:space="preserve">is section </w:t>
      </w:r>
      <w:r w:rsidR="003B798E">
        <w:rPr>
          <w:lang w:val="en-ZA"/>
        </w:rPr>
        <w:t xml:space="preserve">should </w:t>
      </w:r>
      <w:r w:rsidRPr="002B2D93">
        <w:rPr>
          <w:lang w:val="en-ZA"/>
        </w:rPr>
        <w:t>clearly define the employee's official designation within the university's organi</w:t>
      </w:r>
      <w:r w:rsidR="00482B5E">
        <w:rPr>
          <w:lang w:val="en-ZA"/>
        </w:rPr>
        <w:t>s</w:t>
      </w:r>
      <w:r w:rsidRPr="002B2D93">
        <w:rPr>
          <w:lang w:val="en-ZA"/>
        </w:rPr>
        <w:t xml:space="preserve">ational structure. </w:t>
      </w:r>
      <w:r w:rsidR="003B798E">
        <w:rPr>
          <w:lang w:val="en-ZA"/>
        </w:rPr>
        <w:t xml:space="preserve">A job title and job description </w:t>
      </w:r>
      <w:proofErr w:type="gramStart"/>
      <w:r w:rsidRPr="002B2D93">
        <w:rPr>
          <w:lang w:val="en-ZA"/>
        </w:rPr>
        <w:t>provides</w:t>
      </w:r>
      <w:proofErr w:type="gramEnd"/>
      <w:r w:rsidRPr="002B2D93">
        <w:rPr>
          <w:lang w:val="en-ZA"/>
        </w:rPr>
        <w:t xml:space="preserve"> a</w:t>
      </w:r>
      <w:r w:rsidR="003F6978">
        <w:rPr>
          <w:lang w:val="en-ZA"/>
        </w:rPr>
        <w:t xml:space="preserve">n </w:t>
      </w:r>
      <w:r w:rsidRPr="003F6978">
        <w:rPr>
          <w:b/>
          <w:bCs/>
          <w:lang w:val="en-ZA"/>
        </w:rPr>
        <w:t>overview of the</w:t>
      </w:r>
      <w:r w:rsidR="003B798E">
        <w:rPr>
          <w:b/>
          <w:bCs/>
          <w:lang w:val="en-ZA"/>
        </w:rPr>
        <w:t xml:space="preserve"> job’s</w:t>
      </w:r>
      <w:r w:rsidRPr="003F6978">
        <w:rPr>
          <w:b/>
          <w:bCs/>
          <w:lang w:val="en-ZA"/>
        </w:rPr>
        <w:t xml:space="preserve"> purpose, key responsibilities, and expected duties</w:t>
      </w:r>
      <w:r w:rsidRPr="002B2D93">
        <w:rPr>
          <w:lang w:val="en-ZA"/>
        </w:rPr>
        <w:t>.</w:t>
      </w:r>
      <w:r w:rsidR="003F6978">
        <w:rPr>
          <w:lang w:val="en-ZA"/>
        </w:rPr>
        <w:t xml:space="preserve"> </w:t>
      </w:r>
      <w:r w:rsidRPr="002B2D93">
        <w:rPr>
          <w:lang w:val="en-ZA"/>
        </w:rPr>
        <w:t xml:space="preserve">Furthermore, it may detail the required qualifications, skills, and experience necessary for successful performance in the position, ensuring both the employee and the university have a shared understanding of the expectations </w:t>
      </w:r>
      <w:r w:rsidRPr="002B2D93">
        <w:rPr>
          <w:lang w:val="en-ZA"/>
        </w:rPr>
        <w:lastRenderedPageBreak/>
        <w:t>and accountabilities</w:t>
      </w:r>
      <w:r w:rsidR="00926695">
        <w:rPr>
          <w:lang w:val="en-ZA"/>
        </w:rPr>
        <w:t xml:space="preserve"> of the role</w:t>
      </w:r>
      <w:r w:rsidRPr="002B2D93">
        <w:rPr>
          <w:lang w:val="en-ZA"/>
        </w:rPr>
        <w:t>.</w:t>
      </w:r>
      <w:r w:rsidR="003F6978">
        <w:rPr>
          <w:lang w:val="en-ZA"/>
        </w:rPr>
        <w:t xml:space="preserve"> </w:t>
      </w:r>
      <w:r w:rsidR="003F6978" w:rsidRPr="00473564">
        <w:rPr>
          <w:b/>
          <w:bCs/>
          <w:color w:val="000000" w:themeColor="text1"/>
          <w:lang w:val="en-ZA"/>
        </w:rPr>
        <w:t xml:space="preserve">Appendix </w:t>
      </w:r>
      <w:r w:rsidR="00697F15" w:rsidRPr="00473564">
        <w:rPr>
          <w:b/>
          <w:bCs/>
          <w:color w:val="000000" w:themeColor="text1"/>
          <w:lang w:val="en-ZA"/>
        </w:rPr>
        <w:t>B</w:t>
      </w:r>
      <w:r w:rsidR="003F6978" w:rsidRPr="00473564">
        <w:rPr>
          <w:b/>
          <w:bCs/>
          <w:color w:val="000000" w:themeColor="text1"/>
          <w:lang w:val="en-ZA"/>
        </w:rPr>
        <w:t xml:space="preserve"> provides </w:t>
      </w:r>
      <w:r w:rsidR="003F6978" w:rsidRPr="00473564">
        <w:rPr>
          <w:b/>
          <w:bCs/>
          <w:lang w:val="en-ZA"/>
        </w:rPr>
        <w:t xml:space="preserve">a generic job description template </w:t>
      </w:r>
      <w:r w:rsidR="007053E9" w:rsidRPr="00473564">
        <w:rPr>
          <w:b/>
          <w:bCs/>
          <w:lang w:val="en-ZA"/>
        </w:rPr>
        <w:t>that can be adapted for own use</w:t>
      </w:r>
      <w:r w:rsidR="007053E9">
        <w:rPr>
          <w:lang w:val="en-ZA"/>
        </w:rPr>
        <w:t>.</w:t>
      </w:r>
    </w:p>
    <w:p w14:paraId="4544042A" w14:textId="2EE10C5F" w:rsidR="00D2108A" w:rsidRDefault="00916B43" w:rsidP="00DE1042">
      <w:pPr>
        <w:pStyle w:val="Heading4"/>
        <w:rPr>
          <w:lang w:val="en-ZA"/>
        </w:rPr>
      </w:pPr>
      <w:r w:rsidRPr="007F333D">
        <w:rPr>
          <w:lang w:val="en-ZA"/>
        </w:rPr>
        <w:t xml:space="preserve">Salary </w:t>
      </w:r>
      <w:r w:rsidRPr="00DE1042">
        <w:t>structure</w:t>
      </w:r>
      <w:r w:rsidRPr="007F333D">
        <w:rPr>
          <w:lang w:val="en-ZA"/>
        </w:rPr>
        <w:t xml:space="preserve"> and payment schedule</w:t>
      </w:r>
    </w:p>
    <w:p w14:paraId="74405DF0" w14:textId="77A2F272" w:rsidR="00E86598" w:rsidRDefault="0089718F" w:rsidP="00CA2738">
      <w:pPr>
        <w:rPr>
          <w:lang w:val="en-ZA"/>
        </w:rPr>
      </w:pPr>
      <w:r w:rsidRPr="0089718F">
        <w:rPr>
          <w:lang w:val="en-ZA"/>
        </w:rPr>
        <w:t>Th</w:t>
      </w:r>
      <w:r w:rsidR="003B798E">
        <w:t>e salary</w:t>
      </w:r>
      <w:r w:rsidR="003B798E" w:rsidRPr="003B798E">
        <w:rPr>
          <w:lang w:val="en-ZA"/>
        </w:rPr>
        <w:t xml:space="preserve"> structure and payment schedule</w:t>
      </w:r>
      <w:r w:rsidRPr="0089718F">
        <w:rPr>
          <w:lang w:val="en-ZA"/>
        </w:rPr>
        <w:t xml:space="preserve"> section should </w:t>
      </w:r>
      <w:r w:rsidR="003B798E">
        <w:rPr>
          <w:lang w:val="en-ZA"/>
        </w:rPr>
        <w:t xml:space="preserve">either </w:t>
      </w:r>
      <w:r w:rsidRPr="0089718F">
        <w:rPr>
          <w:lang w:val="en-ZA"/>
        </w:rPr>
        <w:t xml:space="preserve">comprehensively outline the </w:t>
      </w:r>
      <w:r w:rsidR="00E86598" w:rsidRPr="00BF6742">
        <w:rPr>
          <w:b/>
          <w:bCs/>
          <w:color w:val="000000" w:themeColor="text1"/>
          <w:lang w:val="en-ZA"/>
        </w:rPr>
        <w:t>institution’s</w:t>
      </w:r>
      <w:r w:rsidRPr="00BF6742">
        <w:rPr>
          <w:b/>
          <w:bCs/>
          <w:color w:val="000000" w:themeColor="text1"/>
          <w:lang w:val="en-ZA"/>
        </w:rPr>
        <w:t xml:space="preserve"> salary classification framework</w:t>
      </w:r>
      <w:r w:rsidR="0002528C" w:rsidRPr="00BF6742">
        <w:rPr>
          <w:b/>
          <w:bCs/>
          <w:color w:val="000000" w:themeColor="text1"/>
          <w:lang w:val="en-ZA"/>
        </w:rPr>
        <w:t xml:space="preserve"> by detailing the salary scales and bands</w:t>
      </w:r>
      <w:r w:rsidR="0002528C" w:rsidRPr="003B798E">
        <w:rPr>
          <w:color w:val="000000" w:themeColor="text1"/>
          <w:lang w:val="en-ZA"/>
        </w:rPr>
        <w:t xml:space="preserve"> applicable </w:t>
      </w:r>
      <w:r w:rsidR="0002528C" w:rsidRPr="001038B3">
        <w:rPr>
          <w:lang w:val="en-ZA"/>
        </w:rPr>
        <w:t xml:space="preserve">to different </w:t>
      </w:r>
      <w:proofErr w:type="gramStart"/>
      <w:r w:rsidR="0002528C" w:rsidRPr="001038B3">
        <w:rPr>
          <w:lang w:val="en-ZA"/>
        </w:rPr>
        <w:t>positions</w:t>
      </w:r>
      <w:r w:rsidR="003B798E">
        <w:rPr>
          <w:lang w:val="en-ZA"/>
        </w:rPr>
        <w:t>, or</w:t>
      </w:r>
      <w:proofErr w:type="gramEnd"/>
      <w:r w:rsidR="003B798E">
        <w:rPr>
          <w:lang w:val="en-ZA"/>
        </w:rPr>
        <w:t xml:space="preserve"> </w:t>
      </w:r>
      <w:proofErr w:type="gramStart"/>
      <w:r w:rsidR="003B798E">
        <w:rPr>
          <w:lang w:val="en-ZA"/>
        </w:rPr>
        <w:t>make reference</w:t>
      </w:r>
      <w:proofErr w:type="gramEnd"/>
      <w:r w:rsidR="003B798E">
        <w:rPr>
          <w:lang w:val="en-ZA"/>
        </w:rPr>
        <w:t xml:space="preserve"> to such a framework if published elsewhere</w:t>
      </w:r>
      <w:r w:rsidR="0002528C" w:rsidRPr="001038B3">
        <w:rPr>
          <w:lang w:val="en-ZA"/>
        </w:rPr>
        <w:t>.</w:t>
      </w:r>
      <w:r w:rsidRPr="0089718F">
        <w:rPr>
          <w:lang w:val="en-ZA"/>
        </w:rPr>
        <w:t xml:space="preserve"> </w:t>
      </w:r>
      <w:r w:rsidR="0002528C">
        <w:rPr>
          <w:lang w:val="en-ZA"/>
        </w:rPr>
        <w:t xml:space="preserve">For </w:t>
      </w:r>
      <w:r w:rsidR="00926695">
        <w:rPr>
          <w:lang w:val="en-ZA"/>
        </w:rPr>
        <w:t xml:space="preserve">the sake of </w:t>
      </w:r>
      <w:r w:rsidR="0002528C">
        <w:rPr>
          <w:lang w:val="en-ZA"/>
        </w:rPr>
        <w:t xml:space="preserve">transparency, </w:t>
      </w:r>
      <w:r w:rsidR="00926695">
        <w:rPr>
          <w:lang w:val="en-ZA"/>
        </w:rPr>
        <w:t xml:space="preserve">this section </w:t>
      </w:r>
      <w:r w:rsidR="0002528C">
        <w:rPr>
          <w:lang w:val="en-ZA"/>
        </w:rPr>
        <w:t xml:space="preserve">should also include </w:t>
      </w:r>
      <w:r w:rsidRPr="00BF6742">
        <w:rPr>
          <w:b/>
          <w:bCs/>
          <w:lang w:val="en-ZA"/>
        </w:rPr>
        <w:t>provisions for determining initial salary placement based on qualifications, experience, and market factors</w:t>
      </w:r>
      <w:r w:rsidR="00926695">
        <w:rPr>
          <w:lang w:val="en-ZA"/>
        </w:rPr>
        <w:t xml:space="preserve"> and it must</w:t>
      </w:r>
      <w:r w:rsidR="00E86598" w:rsidRPr="001038B3">
        <w:rPr>
          <w:lang w:val="en-ZA"/>
        </w:rPr>
        <w:t xml:space="preserve"> also </w:t>
      </w:r>
      <w:r w:rsidR="00926695">
        <w:rPr>
          <w:lang w:val="en-ZA"/>
        </w:rPr>
        <w:t>specifically</w:t>
      </w:r>
      <w:r w:rsidR="00926695" w:rsidRPr="001038B3">
        <w:rPr>
          <w:lang w:val="en-ZA"/>
        </w:rPr>
        <w:t xml:space="preserve"> </w:t>
      </w:r>
      <w:r w:rsidR="00E86598" w:rsidRPr="001038B3">
        <w:rPr>
          <w:lang w:val="en-ZA"/>
        </w:rPr>
        <w:t xml:space="preserve">state the employee's </w:t>
      </w:r>
      <w:r w:rsidR="00E86598" w:rsidRPr="00AC6F66">
        <w:rPr>
          <w:b/>
          <w:bCs/>
          <w:lang w:val="en-ZA"/>
        </w:rPr>
        <w:t>salary</w:t>
      </w:r>
      <w:r w:rsidR="00E86598" w:rsidRPr="001038B3">
        <w:rPr>
          <w:lang w:val="en-ZA"/>
        </w:rPr>
        <w:t xml:space="preserve">, the </w:t>
      </w:r>
      <w:r w:rsidR="00E86598" w:rsidRPr="00AC6F66">
        <w:rPr>
          <w:b/>
          <w:bCs/>
          <w:lang w:val="en-ZA"/>
        </w:rPr>
        <w:t>frequency of payment</w:t>
      </w:r>
      <w:r w:rsidR="00E86598" w:rsidRPr="001038B3">
        <w:rPr>
          <w:lang w:val="en-ZA"/>
        </w:rPr>
        <w:t xml:space="preserve"> (e.g., monthly), the </w:t>
      </w:r>
      <w:r w:rsidR="00E86598" w:rsidRPr="00AC6F66">
        <w:rPr>
          <w:b/>
          <w:bCs/>
          <w:lang w:val="en-ZA"/>
        </w:rPr>
        <w:t>method of payment</w:t>
      </w:r>
      <w:r w:rsidR="00E86598" w:rsidRPr="001038B3">
        <w:rPr>
          <w:lang w:val="en-ZA"/>
        </w:rPr>
        <w:t xml:space="preserve"> (e.g., direct deposit), and the typical </w:t>
      </w:r>
      <w:r w:rsidR="00E86598" w:rsidRPr="00AC6F66">
        <w:rPr>
          <w:b/>
          <w:bCs/>
          <w:lang w:val="en-ZA"/>
        </w:rPr>
        <w:t>payday schedule</w:t>
      </w:r>
      <w:r w:rsidR="00E86598" w:rsidRPr="001038B3">
        <w:rPr>
          <w:lang w:val="en-ZA"/>
        </w:rPr>
        <w:t>.</w:t>
      </w:r>
      <w:r w:rsidR="00E86598">
        <w:rPr>
          <w:lang w:val="en-ZA"/>
        </w:rPr>
        <w:t xml:space="preserve"> </w:t>
      </w:r>
      <w:r w:rsidR="00E86598" w:rsidRPr="001038B3">
        <w:rPr>
          <w:lang w:val="en-ZA"/>
        </w:rPr>
        <w:t xml:space="preserve">Furthermore, it may provide information </w:t>
      </w:r>
      <w:r w:rsidR="00926695">
        <w:rPr>
          <w:lang w:val="en-ZA"/>
        </w:rPr>
        <w:t>about</w:t>
      </w:r>
      <w:r w:rsidR="00926695" w:rsidRPr="001038B3">
        <w:rPr>
          <w:lang w:val="en-ZA"/>
        </w:rPr>
        <w:t xml:space="preserve"> </w:t>
      </w:r>
      <w:r w:rsidR="00926695">
        <w:rPr>
          <w:lang w:val="en-ZA"/>
        </w:rPr>
        <w:t xml:space="preserve">tax </w:t>
      </w:r>
      <w:r w:rsidR="00E86598" w:rsidRPr="001038B3">
        <w:rPr>
          <w:lang w:val="en-ZA"/>
        </w:rPr>
        <w:t>deductions, benefits, and other</w:t>
      </w:r>
      <w:r w:rsidR="00E86598">
        <w:rPr>
          <w:lang w:val="en-ZA"/>
        </w:rPr>
        <w:t xml:space="preserve"> </w:t>
      </w:r>
      <w:r w:rsidR="00E86598" w:rsidRPr="00AC6F66">
        <w:rPr>
          <w:b/>
          <w:bCs/>
          <w:lang w:val="en-ZA"/>
        </w:rPr>
        <w:t>deductions or withholdings</w:t>
      </w:r>
      <w:r w:rsidR="00E86598" w:rsidRPr="001038B3">
        <w:rPr>
          <w:lang w:val="en-ZA"/>
        </w:rPr>
        <w:t>.</w:t>
      </w:r>
    </w:p>
    <w:p w14:paraId="335277E4" w14:textId="77777777" w:rsidR="007053E9" w:rsidRDefault="007053E9" w:rsidP="00DE1042">
      <w:pPr>
        <w:pStyle w:val="Heading4"/>
        <w:rPr>
          <w:lang w:val="en-ZA"/>
        </w:rPr>
      </w:pPr>
      <w:r>
        <w:rPr>
          <w:lang w:val="en-ZA"/>
        </w:rPr>
        <w:t>Benefits and allowances</w:t>
      </w:r>
    </w:p>
    <w:p w14:paraId="00E6EC15" w14:textId="5E9D6075" w:rsidR="007053E9" w:rsidRDefault="000542B5" w:rsidP="00CA2738">
      <w:pPr>
        <w:rPr>
          <w:lang w:val="en-ZA"/>
        </w:rPr>
      </w:pPr>
      <w:r w:rsidRPr="000542B5">
        <w:rPr>
          <w:lang w:val="en-ZA"/>
        </w:rPr>
        <w:t>Th</w:t>
      </w:r>
      <w:r w:rsidR="00565634">
        <w:rPr>
          <w:lang w:val="en-ZA"/>
        </w:rPr>
        <w:t xml:space="preserve">is section </w:t>
      </w:r>
      <w:r w:rsidR="004E160A">
        <w:rPr>
          <w:lang w:val="en-ZA"/>
        </w:rPr>
        <w:t xml:space="preserve">should </w:t>
      </w:r>
      <w:r w:rsidRPr="000542B5">
        <w:rPr>
          <w:lang w:val="en-ZA"/>
        </w:rPr>
        <w:t xml:space="preserve">comprehensively detail the </w:t>
      </w:r>
      <w:r w:rsidRPr="005F1375">
        <w:rPr>
          <w:b/>
          <w:bCs/>
          <w:lang w:val="en-ZA"/>
        </w:rPr>
        <w:t>supplementary provisions</w:t>
      </w:r>
      <w:r w:rsidRPr="000542B5">
        <w:rPr>
          <w:lang w:val="en-ZA"/>
        </w:rPr>
        <w:t xml:space="preserve"> offered to employees beyond their base salary. </w:t>
      </w:r>
      <w:r w:rsidR="000D4A1F">
        <w:rPr>
          <w:lang w:val="en-ZA"/>
        </w:rPr>
        <w:t xml:space="preserve">This might include a </w:t>
      </w:r>
      <w:r w:rsidRPr="000542B5">
        <w:rPr>
          <w:lang w:val="en-ZA"/>
        </w:rPr>
        <w:t xml:space="preserve">range of potential </w:t>
      </w:r>
      <w:r w:rsidRPr="005F1375">
        <w:rPr>
          <w:b/>
          <w:bCs/>
          <w:lang w:val="en-ZA"/>
        </w:rPr>
        <w:t>benefits</w:t>
      </w:r>
      <w:r w:rsidRPr="000542B5">
        <w:rPr>
          <w:lang w:val="en-ZA"/>
        </w:rPr>
        <w:t>, such as contributions towards medical aid, retirement funds, life insurance, disability cover</w:t>
      </w:r>
      <w:r w:rsidR="00BC30E9">
        <w:rPr>
          <w:lang w:val="en-ZA"/>
        </w:rPr>
        <w:t xml:space="preserve">, or </w:t>
      </w:r>
      <w:r w:rsidR="00645BD9">
        <w:rPr>
          <w:lang w:val="en-ZA"/>
        </w:rPr>
        <w:t>study benefits</w:t>
      </w:r>
      <w:r w:rsidR="004E160A">
        <w:rPr>
          <w:lang w:val="en-ZA"/>
        </w:rPr>
        <w:t xml:space="preserve"> for employees and their families</w:t>
      </w:r>
      <w:r w:rsidR="000D4A1F">
        <w:rPr>
          <w:lang w:val="en-ZA"/>
        </w:rPr>
        <w:t xml:space="preserve">. </w:t>
      </w:r>
      <w:r w:rsidRPr="000542B5">
        <w:rPr>
          <w:lang w:val="en-ZA"/>
        </w:rPr>
        <w:t xml:space="preserve">Furthermore, this section specifies any applicable </w:t>
      </w:r>
      <w:r w:rsidRPr="005F1375">
        <w:rPr>
          <w:b/>
          <w:bCs/>
          <w:lang w:val="en-ZA"/>
        </w:rPr>
        <w:t>allowances</w:t>
      </w:r>
      <w:r w:rsidRPr="000542B5">
        <w:rPr>
          <w:lang w:val="en-ZA"/>
        </w:rPr>
        <w:t xml:space="preserve">, </w:t>
      </w:r>
      <w:r w:rsidR="00FE4A3A">
        <w:rPr>
          <w:lang w:val="en-ZA"/>
        </w:rPr>
        <w:t xml:space="preserve">such as housing, </w:t>
      </w:r>
      <w:r w:rsidR="003404B4">
        <w:rPr>
          <w:lang w:val="en-ZA"/>
        </w:rPr>
        <w:t xml:space="preserve">relocation, </w:t>
      </w:r>
      <w:r w:rsidR="00FE4A3A">
        <w:rPr>
          <w:lang w:val="en-ZA"/>
        </w:rPr>
        <w:t>travel</w:t>
      </w:r>
      <w:r w:rsidR="00BF34C8">
        <w:rPr>
          <w:lang w:val="en-ZA"/>
        </w:rPr>
        <w:t>, c</w:t>
      </w:r>
      <w:r w:rsidR="00DD7F1A">
        <w:rPr>
          <w:lang w:val="en-ZA"/>
        </w:rPr>
        <w:t>onnectivity</w:t>
      </w:r>
      <w:r w:rsidR="00BF34C8">
        <w:rPr>
          <w:lang w:val="en-ZA"/>
        </w:rPr>
        <w:t xml:space="preserve">, </w:t>
      </w:r>
      <w:r w:rsidR="00454C49">
        <w:rPr>
          <w:lang w:val="en-ZA"/>
        </w:rPr>
        <w:t xml:space="preserve">childcare assistance, </w:t>
      </w:r>
      <w:r w:rsidR="00BF34C8">
        <w:rPr>
          <w:lang w:val="en-ZA"/>
        </w:rPr>
        <w:t>or research</w:t>
      </w:r>
      <w:r w:rsidRPr="000542B5">
        <w:rPr>
          <w:lang w:val="en-ZA"/>
        </w:rPr>
        <w:t xml:space="preserve"> allowances</w:t>
      </w:r>
      <w:r w:rsidR="00DD7F1A">
        <w:rPr>
          <w:lang w:val="en-ZA"/>
        </w:rPr>
        <w:t xml:space="preserve">. The </w:t>
      </w:r>
      <w:r w:rsidRPr="004E160A">
        <w:rPr>
          <w:b/>
          <w:bCs/>
          <w:lang w:val="en-ZA"/>
        </w:rPr>
        <w:t>eligibility requirements</w:t>
      </w:r>
      <w:r w:rsidR="003404B4">
        <w:rPr>
          <w:lang w:val="en-ZA"/>
        </w:rPr>
        <w:t xml:space="preserve">, and related </w:t>
      </w:r>
      <w:r w:rsidR="003404B4" w:rsidRPr="00651820">
        <w:rPr>
          <w:b/>
          <w:bCs/>
          <w:lang w:val="en-ZA"/>
        </w:rPr>
        <w:t>terms and conditions</w:t>
      </w:r>
      <w:r w:rsidR="003404B4">
        <w:rPr>
          <w:lang w:val="en-ZA"/>
        </w:rPr>
        <w:t xml:space="preserve"> under which benefits and allowances are applicable to staff </w:t>
      </w:r>
      <w:proofErr w:type="gramStart"/>
      <w:r w:rsidR="003404B4">
        <w:rPr>
          <w:lang w:val="en-ZA"/>
        </w:rPr>
        <w:t>have to</w:t>
      </w:r>
      <w:proofErr w:type="gramEnd"/>
      <w:r w:rsidR="003404B4">
        <w:rPr>
          <w:lang w:val="en-ZA"/>
        </w:rPr>
        <w:t xml:space="preserve"> be clearly stated.</w:t>
      </w:r>
      <w:r w:rsidR="00454C49">
        <w:rPr>
          <w:lang w:val="en-ZA"/>
        </w:rPr>
        <w:t xml:space="preserve"> </w:t>
      </w:r>
      <w:r w:rsidR="00885B78" w:rsidRPr="00651820">
        <w:rPr>
          <w:b/>
          <w:bCs/>
          <w:lang w:val="en-ZA"/>
        </w:rPr>
        <w:t>Non-monetary awards</w:t>
      </w:r>
      <w:r w:rsidR="00885B78">
        <w:rPr>
          <w:lang w:val="en-ZA"/>
        </w:rPr>
        <w:t xml:space="preserve"> and incentives, such as </w:t>
      </w:r>
      <w:r w:rsidR="00565634" w:rsidRPr="00565634">
        <w:rPr>
          <w:lang w:val="en-ZA"/>
        </w:rPr>
        <w:t>length-of-service awards, and recognition program</w:t>
      </w:r>
      <w:r w:rsidR="00474774">
        <w:rPr>
          <w:lang w:val="en-ZA"/>
        </w:rPr>
        <w:t>me</w:t>
      </w:r>
      <w:r w:rsidR="00565634" w:rsidRPr="00565634">
        <w:rPr>
          <w:lang w:val="en-ZA"/>
        </w:rPr>
        <w:t>s</w:t>
      </w:r>
      <w:r w:rsidR="00885B78">
        <w:rPr>
          <w:lang w:val="en-ZA"/>
        </w:rPr>
        <w:t>, should also be included here</w:t>
      </w:r>
      <w:r w:rsidR="00540690">
        <w:rPr>
          <w:lang w:val="en-ZA"/>
        </w:rPr>
        <w:t xml:space="preserve">, as well as additional benefits staff might </w:t>
      </w:r>
      <w:r w:rsidR="00436876">
        <w:rPr>
          <w:lang w:val="en-ZA"/>
        </w:rPr>
        <w:t>receive</w:t>
      </w:r>
      <w:r w:rsidR="00284367">
        <w:rPr>
          <w:lang w:val="en-ZA"/>
        </w:rPr>
        <w:t xml:space="preserve"> (e.g., </w:t>
      </w:r>
      <w:r w:rsidR="00436876">
        <w:rPr>
          <w:lang w:val="en-ZA"/>
        </w:rPr>
        <w:t xml:space="preserve">free/discounted university gym memberships, special library access and support, or similar </w:t>
      </w:r>
      <w:r w:rsidR="002051FD">
        <w:rPr>
          <w:lang w:val="en-ZA"/>
        </w:rPr>
        <w:t>activities</w:t>
      </w:r>
      <w:r w:rsidR="00284367">
        <w:rPr>
          <w:lang w:val="en-ZA"/>
        </w:rPr>
        <w:t>)</w:t>
      </w:r>
      <w:r w:rsidR="002051FD">
        <w:rPr>
          <w:lang w:val="en-ZA"/>
        </w:rPr>
        <w:t xml:space="preserve">. </w:t>
      </w:r>
    </w:p>
    <w:p w14:paraId="0BBFBEAB" w14:textId="1EA12CFA" w:rsidR="007053E9" w:rsidRDefault="00916B43" w:rsidP="00DE1042">
      <w:pPr>
        <w:pStyle w:val="Heading4"/>
        <w:rPr>
          <w:lang w:val="en-ZA"/>
        </w:rPr>
      </w:pPr>
      <w:r w:rsidRPr="00DE1042">
        <w:t>Working</w:t>
      </w:r>
      <w:r w:rsidRPr="007053E9">
        <w:rPr>
          <w:lang w:val="en-ZA"/>
        </w:rPr>
        <w:t xml:space="preserve"> hours</w:t>
      </w:r>
      <w:r w:rsidR="00A00E1A">
        <w:rPr>
          <w:lang w:val="en-ZA"/>
        </w:rPr>
        <w:t xml:space="preserve"> and leave</w:t>
      </w:r>
    </w:p>
    <w:p w14:paraId="00FA937A" w14:textId="60186639" w:rsidR="00DB1CE9" w:rsidRDefault="00FC0A96" w:rsidP="00CA2738">
      <w:pPr>
        <w:rPr>
          <w:color w:val="000000" w:themeColor="text1"/>
          <w:lang w:val="en-ZA"/>
        </w:rPr>
      </w:pPr>
      <w:r>
        <w:rPr>
          <w:lang w:val="en-ZA"/>
        </w:rPr>
        <w:t xml:space="preserve">The </w:t>
      </w:r>
      <w:r w:rsidR="008D5842">
        <w:rPr>
          <w:lang w:val="en-ZA"/>
        </w:rPr>
        <w:t xml:space="preserve">required </w:t>
      </w:r>
      <w:r w:rsidR="008D5842" w:rsidRPr="00DE6CB4">
        <w:rPr>
          <w:b/>
          <w:bCs/>
          <w:lang w:val="en-ZA"/>
        </w:rPr>
        <w:t>working hours</w:t>
      </w:r>
      <w:r w:rsidR="008D5842">
        <w:rPr>
          <w:lang w:val="en-ZA"/>
        </w:rPr>
        <w:t xml:space="preserve">, in line with the nature of the appointment, should be clearly stated, along with </w:t>
      </w:r>
      <w:r w:rsidR="00B50516">
        <w:rPr>
          <w:lang w:val="en-ZA"/>
        </w:rPr>
        <w:t>reference to policy statements on working overtime.</w:t>
      </w:r>
      <w:r w:rsidR="00436417">
        <w:rPr>
          <w:lang w:val="en-ZA"/>
        </w:rPr>
        <w:t xml:space="preserve"> The institution’s position </w:t>
      </w:r>
      <w:r w:rsidR="004039AC">
        <w:rPr>
          <w:lang w:val="en-ZA"/>
        </w:rPr>
        <w:t xml:space="preserve">on </w:t>
      </w:r>
      <w:r w:rsidR="003C54C7" w:rsidRPr="00DE6CB4">
        <w:rPr>
          <w:b/>
          <w:bCs/>
          <w:lang w:val="en-ZA"/>
        </w:rPr>
        <w:t>alternative work arrangements</w:t>
      </w:r>
      <w:r w:rsidR="003C54C7">
        <w:rPr>
          <w:lang w:val="en-ZA"/>
        </w:rPr>
        <w:t xml:space="preserve"> (e.g., remote work, </w:t>
      </w:r>
      <w:r w:rsidR="00284367">
        <w:rPr>
          <w:lang w:val="en-ZA"/>
        </w:rPr>
        <w:t xml:space="preserve">flexi-/hybrid </w:t>
      </w:r>
      <w:r w:rsidR="004039AC">
        <w:rPr>
          <w:lang w:val="en-ZA"/>
        </w:rPr>
        <w:t>work</w:t>
      </w:r>
      <w:r w:rsidR="003C54C7">
        <w:rPr>
          <w:lang w:val="en-ZA"/>
        </w:rPr>
        <w:t>, etc.)</w:t>
      </w:r>
      <w:r w:rsidR="004039AC">
        <w:rPr>
          <w:lang w:val="en-ZA"/>
        </w:rPr>
        <w:t xml:space="preserve"> should also be noted here, along with </w:t>
      </w:r>
      <w:r w:rsidR="00284367">
        <w:rPr>
          <w:lang w:val="en-ZA"/>
        </w:rPr>
        <w:t xml:space="preserve">the accompanying </w:t>
      </w:r>
      <w:r w:rsidR="004039AC">
        <w:rPr>
          <w:lang w:val="en-ZA"/>
        </w:rPr>
        <w:t>conditions of such arrangements.</w:t>
      </w:r>
      <w:r w:rsidR="00B50516">
        <w:rPr>
          <w:lang w:val="en-ZA"/>
        </w:rPr>
        <w:t xml:space="preserve"> </w:t>
      </w:r>
      <w:r w:rsidR="00D21442">
        <w:rPr>
          <w:lang w:val="en-ZA"/>
        </w:rPr>
        <w:t xml:space="preserve">This section should also summarise </w:t>
      </w:r>
      <w:r w:rsidR="00284367">
        <w:rPr>
          <w:lang w:val="en-ZA"/>
        </w:rPr>
        <w:t xml:space="preserve">the </w:t>
      </w:r>
      <w:r w:rsidR="00D21442">
        <w:rPr>
          <w:lang w:val="en-ZA"/>
        </w:rPr>
        <w:t xml:space="preserve">key elements </w:t>
      </w:r>
      <w:r w:rsidR="00284367">
        <w:rPr>
          <w:lang w:val="en-ZA"/>
        </w:rPr>
        <w:t xml:space="preserve">pertaining to </w:t>
      </w:r>
      <w:r w:rsidR="00D21442">
        <w:rPr>
          <w:lang w:val="en-ZA"/>
        </w:rPr>
        <w:t>leave</w:t>
      </w:r>
      <w:r w:rsidR="00284367">
        <w:rPr>
          <w:lang w:val="en-ZA"/>
        </w:rPr>
        <w:t xml:space="preserve"> from work</w:t>
      </w:r>
      <w:r w:rsidR="00D21442">
        <w:rPr>
          <w:lang w:val="en-ZA"/>
        </w:rPr>
        <w:t xml:space="preserve">, with reference to the institution’s </w:t>
      </w:r>
      <w:r w:rsidR="00D21442" w:rsidRPr="00D21442">
        <w:rPr>
          <w:color w:val="000000" w:themeColor="text1"/>
          <w:lang w:val="en-ZA"/>
        </w:rPr>
        <w:t>formal leave policy</w:t>
      </w:r>
      <w:r w:rsidR="00D21442">
        <w:rPr>
          <w:lang w:val="en-ZA"/>
        </w:rPr>
        <w:t xml:space="preserve">. </w:t>
      </w:r>
      <w:r w:rsidR="00D21442" w:rsidRPr="00DE6CB4">
        <w:rPr>
          <w:b/>
          <w:bCs/>
          <w:lang w:val="en-ZA"/>
        </w:rPr>
        <w:t xml:space="preserve">An </w:t>
      </w:r>
      <w:r w:rsidR="00D21442" w:rsidRPr="00DE6CB4">
        <w:rPr>
          <w:b/>
          <w:bCs/>
          <w:color w:val="000000" w:themeColor="text1"/>
          <w:lang w:val="en-ZA"/>
        </w:rPr>
        <w:t xml:space="preserve">example of a leave policy is provided in Appendix </w:t>
      </w:r>
      <w:r w:rsidR="00DE6CB4" w:rsidRPr="00DE6CB4">
        <w:rPr>
          <w:b/>
          <w:bCs/>
          <w:color w:val="000000" w:themeColor="text1"/>
          <w:lang w:val="en-ZA"/>
        </w:rPr>
        <w:t>C</w:t>
      </w:r>
      <w:r w:rsidR="00D21442" w:rsidRPr="00DE6CB4">
        <w:rPr>
          <w:color w:val="000000" w:themeColor="text1"/>
          <w:lang w:val="en-ZA"/>
        </w:rPr>
        <w:t>.</w:t>
      </w:r>
    </w:p>
    <w:p w14:paraId="723E3A88" w14:textId="6DC3B820" w:rsidR="00B57B91" w:rsidRDefault="00444D80" w:rsidP="00DE1042">
      <w:pPr>
        <w:pStyle w:val="Heading4"/>
        <w:rPr>
          <w:lang w:val="en-ZA"/>
        </w:rPr>
      </w:pPr>
      <w:r>
        <w:rPr>
          <w:lang w:val="en-ZA"/>
        </w:rPr>
        <w:t>S</w:t>
      </w:r>
      <w:r w:rsidR="00B57B91">
        <w:rPr>
          <w:lang w:val="en-ZA"/>
        </w:rPr>
        <w:t>taff development</w:t>
      </w:r>
      <w:r>
        <w:rPr>
          <w:lang w:val="en-ZA"/>
        </w:rPr>
        <w:t xml:space="preserve"> and performance appraisal</w:t>
      </w:r>
    </w:p>
    <w:p w14:paraId="7E3F7E39" w14:textId="77777777" w:rsidR="00444D80" w:rsidRDefault="00444D80" w:rsidP="00444D80">
      <w:pPr>
        <w:rPr>
          <w:lang w:val="en-ZA"/>
        </w:rPr>
      </w:pPr>
      <w:r>
        <w:rPr>
          <w:lang w:val="en-ZA"/>
        </w:rPr>
        <w:t xml:space="preserve">Staff development and support opportunities include, but are not limited to a: </w:t>
      </w:r>
    </w:p>
    <w:p w14:paraId="64DA3BA1" w14:textId="08C40C3C" w:rsidR="00444D80" w:rsidRPr="00DA2B33" w:rsidRDefault="00444D80" w:rsidP="00D80C1E">
      <w:pPr>
        <w:pStyle w:val="ListParagraph"/>
        <w:numPr>
          <w:ilvl w:val="0"/>
          <w:numId w:val="13"/>
        </w:numPr>
        <w:rPr>
          <w:lang w:val="en-ZA"/>
        </w:rPr>
      </w:pPr>
      <w:r w:rsidRPr="00DA2B33">
        <w:rPr>
          <w:lang w:val="en-ZA"/>
        </w:rPr>
        <w:t xml:space="preserve">Personal </w:t>
      </w:r>
      <w:r w:rsidR="00DA5C31">
        <w:rPr>
          <w:lang w:val="en-ZA"/>
        </w:rPr>
        <w:t>D</w:t>
      </w:r>
      <w:r w:rsidRPr="00DA2B33">
        <w:rPr>
          <w:lang w:val="en-ZA"/>
        </w:rPr>
        <w:t xml:space="preserve">evelopment </w:t>
      </w:r>
      <w:r w:rsidR="00DA5C31">
        <w:rPr>
          <w:lang w:val="en-ZA"/>
        </w:rPr>
        <w:t>P</w:t>
      </w:r>
      <w:r w:rsidRPr="00DA2B33">
        <w:rPr>
          <w:lang w:val="en-ZA"/>
        </w:rPr>
        <w:t>lan</w:t>
      </w:r>
      <w:r w:rsidR="00DA5C31">
        <w:rPr>
          <w:lang w:val="en-ZA"/>
        </w:rPr>
        <w:t xml:space="preserve"> (PDP)</w:t>
      </w:r>
    </w:p>
    <w:p w14:paraId="232E711F" w14:textId="77777777" w:rsidR="00444D80" w:rsidRDefault="00444D80" w:rsidP="00D80C1E">
      <w:pPr>
        <w:pStyle w:val="ListParagraph"/>
        <w:numPr>
          <w:ilvl w:val="0"/>
          <w:numId w:val="13"/>
        </w:numPr>
        <w:rPr>
          <w:lang w:val="en-ZA"/>
        </w:rPr>
      </w:pPr>
      <w:r>
        <w:rPr>
          <w:lang w:val="en-ZA"/>
        </w:rPr>
        <w:t>Competency framework</w:t>
      </w:r>
    </w:p>
    <w:p w14:paraId="47B67FBD" w14:textId="4971A14D" w:rsidR="00444D80" w:rsidRDefault="00444D80" w:rsidP="00D80C1E">
      <w:pPr>
        <w:pStyle w:val="ListParagraph"/>
        <w:numPr>
          <w:ilvl w:val="0"/>
          <w:numId w:val="13"/>
        </w:numPr>
        <w:rPr>
          <w:lang w:val="en-ZA"/>
        </w:rPr>
      </w:pPr>
      <w:r w:rsidRPr="00DA2B33">
        <w:rPr>
          <w:lang w:val="en-ZA"/>
        </w:rPr>
        <w:t xml:space="preserve">Performance </w:t>
      </w:r>
      <w:r w:rsidR="00DA5C31">
        <w:rPr>
          <w:lang w:val="en-ZA"/>
        </w:rPr>
        <w:t>M</w:t>
      </w:r>
      <w:r w:rsidRPr="00DA2B33">
        <w:rPr>
          <w:lang w:val="en-ZA"/>
        </w:rPr>
        <w:t>anagement</w:t>
      </w:r>
      <w:r w:rsidR="00DA5C31">
        <w:rPr>
          <w:lang w:val="en-ZA"/>
        </w:rPr>
        <w:t xml:space="preserve"> (PM)</w:t>
      </w:r>
      <w:r w:rsidRPr="00DA2B33">
        <w:rPr>
          <w:lang w:val="en-ZA"/>
        </w:rPr>
        <w:t xml:space="preserve"> policy</w:t>
      </w:r>
    </w:p>
    <w:p w14:paraId="13B17383" w14:textId="77777777" w:rsidR="00A743C6" w:rsidRDefault="00444D80" w:rsidP="00D80C1E">
      <w:pPr>
        <w:pStyle w:val="ListParagraph"/>
        <w:numPr>
          <w:ilvl w:val="0"/>
          <w:numId w:val="13"/>
        </w:numPr>
        <w:rPr>
          <w:lang w:val="en-ZA"/>
        </w:rPr>
      </w:pPr>
      <w:r w:rsidRPr="00F90BE8">
        <w:rPr>
          <w:lang w:val="en-ZA"/>
        </w:rPr>
        <w:t xml:space="preserve">Staff </w:t>
      </w:r>
      <w:r w:rsidR="00DA5C31" w:rsidRPr="00F90BE8">
        <w:rPr>
          <w:lang w:val="en-ZA"/>
        </w:rPr>
        <w:t>D</w:t>
      </w:r>
      <w:r w:rsidRPr="00F90BE8">
        <w:rPr>
          <w:lang w:val="en-ZA"/>
        </w:rPr>
        <w:t>evelopment policy</w:t>
      </w:r>
    </w:p>
    <w:p w14:paraId="5F9B7F54" w14:textId="0D55B74C" w:rsidR="00444D80" w:rsidRPr="00F90BE8" w:rsidRDefault="00444D80" w:rsidP="00D80C1E">
      <w:pPr>
        <w:pStyle w:val="ListParagraph"/>
        <w:numPr>
          <w:ilvl w:val="0"/>
          <w:numId w:val="13"/>
        </w:numPr>
        <w:rPr>
          <w:lang w:val="en-ZA"/>
        </w:rPr>
      </w:pPr>
      <w:r w:rsidRPr="00F90BE8">
        <w:rPr>
          <w:lang w:val="en-ZA"/>
        </w:rPr>
        <w:t xml:space="preserve">Continuous Professional Development </w:t>
      </w:r>
      <w:r w:rsidR="00A743C6">
        <w:rPr>
          <w:lang w:val="en-ZA"/>
        </w:rPr>
        <w:t>(</w:t>
      </w:r>
      <w:r w:rsidRPr="00F90BE8">
        <w:rPr>
          <w:lang w:val="en-ZA"/>
        </w:rPr>
        <w:t>CPD</w:t>
      </w:r>
      <w:r w:rsidR="00F90BE8">
        <w:rPr>
          <w:lang w:val="en-ZA"/>
        </w:rPr>
        <w:t>)</w:t>
      </w:r>
      <w:r w:rsidR="00A743C6">
        <w:rPr>
          <w:lang w:val="en-ZA"/>
        </w:rPr>
        <w:t xml:space="preserve"> </w:t>
      </w:r>
      <w:r w:rsidR="00284367">
        <w:rPr>
          <w:lang w:val="en-ZA"/>
        </w:rPr>
        <w:t>f</w:t>
      </w:r>
      <w:r w:rsidR="00915D8E">
        <w:rPr>
          <w:lang w:val="en-ZA"/>
        </w:rPr>
        <w:t>ramework</w:t>
      </w:r>
    </w:p>
    <w:p w14:paraId="6B7096A6" w14:textId="1ABD9787" w:rsidR="00444D80" w:rsidRPr="00C90BFF" w:rsidRDefault="00444D80" w:rsidP="00D80C1E">
      <w:pPr>
        <w:pStyle w:val="ListParagraph"/>
        <w:numPr>
          <w:ilvl w:val="0"/>
          <w:numId w:val="13"/>
        </w:numPr>
        <w:rPr>
          <w:lang w:val="en-ZA"/>
        </w:rPr>
      </w:pPr>
      <w:r w:rsidRPr="00C90BFF">
        <w:rPr>
          <w:lang w:val="en-ZA"/>
        </w:rPr>
        <w:t>Staff wellbeing and mental health</w:t>
      </w:r>
      <w:r w:rsidR="00A743C6">
        <w:rPr>
          <w:lang w:val="en-ZA"/>
        </w:rPr>
        <w:t xml:space="preserve"> policy</w:t>
      </w:r>
    </w:p>
    <w:p w14:paraId="5950560A" w14:textId="77777777" w:rsidR="00444D80" w:rsidRDefault="00444D80" w:rsidP="00444D80">
      <w:pPr>
        <w:rPr>
          <w:lang w:val="en-ZA"/>
        </w:rPr>
      </w:pPr>
    </w:p>
    <w:p w14:paraId="7A01A1A9" w14:textId="2041AF83" w:rsidR="00444D80" w:rsidRPr="002E15B6" w:rsidRDefault="00437200" w:rsidP="00444D80">
      <w:pPr>
        <w:rPr>
          <w:lang w:val="en-ZA"/>
        </w:rPr>
      </w:pPr>
      <w:r>
        <w:rPr>
          <w:lang w:val="en-ZA"/>
        </w:rPr>
        <w:t xml:space="preserve">These documents should be closely aligned with each other </w:t>
      </w:r>
      <w:r w:rsidR="000E669A">
        <w:rPr>
          <w:lang w:val="en-ZA"/>
        </w:rPr>
        <w:t xml:space="preserve">and serve as a foundation for the personal and professional development of staff. </w:t>
      </w:r>
      <w:r w:rsidR="00444D80">
        <w:rPr>
          <w:lang w:val="en-ZA"/>
        </w:rPr>
        <w:t xml:space="preserve">Ideally, </w:t>
      </w:r>
      <w:r w:rsidR="00444D80" w:rsidRPr="00EF224A">
        <w:rPr>
          <w:b/>
          <w:bCs/>
          <w:lang w:val="en-ZA"/>
        </w:rPr>
        <w:t>each staff member should have a PDP</w:t>
      </w:r>
      <w:r w:rsidR="00444D80">
        <w:rPr>
          <w:lang w:val="en-ZA"/>
        </w:rPr>
        <w:t xml:space="preserve">, developed </w:t>
      </w:r>
      <w:r w:rsidR="00284367">
        <w:rPr>
          <w:lang w:val="en-ZA"/>
        </w:rPr>
        <w:t xml:space="preserve">with managers/supervisors </w:t>
      </w:r>
      <w:proofErr w:type="gramStart"/>
      <w:r w:rsidR="00444D80">
        <w:rPr>
          <w:lang w:val="en-ZA"/>
        </w:rPr>
        <w:t xml:space="preserve">early </w:t>
      </w:r>
      <w:r w:rsidR="00284367">
        <w:rPr>
          <w:lang w:val="en-ZA"/>
        </w:rPr>
        <w:t xml:space="preserve">on </w:t>
      </w:r>
      <w:r w:rsidR="00444D80">
        <w:rPr>
          <w:lang w:val="en-ZA"/>
        </w:rPr>
        <w:t>in the</w:t>
      </w:r>
      <w:proofErr w:type="gramEnd"/>
      <w:r w:rsidR="00444D80">
        <w:rPr>
          <w:lang w:val="en-ZA"/>
        </w:rPr>
        <w:t xml:space="preserve"> appointment, which helps </w:t>
      </w:r>
      <w:r w:rsidR="00444D80" w:rsidRPr="002E15B6">
        <w:rPr>
          <w:lang w:val="en-ZA"/>
        </w:rPr>
        <w:t xml:space="preserve">staff </w:t>
      </w:r>
      <w:r w:rsidR="00284367">
        <w:rPr>
          <w:lang w:val="en-ZA"/>
        </w:rPr>
        <w:t xml:space="preserve">to </w:t>
      </w:r>
      <w:r w:rsidR="00444D80" w:rsidRPr="002E15B6">
        <w:rPr>
          <w:lang w:val="en-ZA"/>
        </w:rPr>
        <w:t xml:space="preserve">reflect on their current skills, identify areas for growth, and set specific, measurable goals for future development. It serves as both a roadmap and a personal commitment, guiding individuals to actively engage with their own learning and career advancement. A well-crafted PDP </w:t>
      </w:r>
      <w:r w:rsidR="00444D80" w:rsidRPr="00EF224A">
        <w:rPr>
          <w:b/>
          <w:bCs/>
          <w:lang w:val="en-ZA"/>
        </w:rPr>
        <w:t>aligns personal aspirations with institutional priorities</w:t>
      </w:r>
      <w:r w:rsidR="00444D80" w:rsidRPr="002E15B6">
        <w:rPr>
          <w:lang w:val="en-ZA"/>
        </w:rPr>
        <w:t xml:space="preserve">, ensuring that staff members continue to </w:t>
      </w:r>
      <w:r w:rsidR="00444D80" w:rsidRPr="002E15B6">
        <w:rPr>
          <w:lang w:val="en-ZA"/>
        </w:rPr>
        <w:lastRenderedPageBreak/>
        <w:t>grow in ways that support both their professional ambitions and the university’s mission.</w:t>
      </w:r>
      <w:r w:rsidR="00444D80">
        <w:rPr>
          <w:lang w:val="en-ZA"/>
        </w:rPr>
        <w:t xml:space="preserve"> </w:t>
      </w:r>
      <w:r w:rsidR="00444D80" w:rsidRPr="00C4014C">
        <w:rPr>
          <w:b/>
          <w:bCs/>
          <w:color w:val="000000" w:themeColor="text1"/>
          <w:lang w:val="en-ZA"/>
        </w:rPr>
        <w:t xml:space="preserve">A PDP template is provided in Appendix </w:t>
      </w:r>
      <w:r w:rsidR="00C4014C" w:rsidRPr="00C4014C">
        <w:rPr>
          <w:b/>
          <w:bCs/>
          <w:color w:val="000000" w:themeColor="text1"/>
          <w:lang w:val="en-ZA"/>
        </w:rPr>
        <w:t>D</w:t>
      </w:r>
      <w:r w:rsidR="00444D80" w:rsidRPr="00C4014C">
        <w:rPr>
          <w:color w:val="000000" w:themeColor="text1"/>
          <w:lang w:val="en-ZA"/>
        </w:rPr>
        <w:t xml:space="preserve">. </w:t>
      </w:r>
    </w:p>
    <w:p w14:paraId="2BA3BD0B" w14:textId="77777777" w:rsidR="00444D80" w:rsidRPr="002E15B6" w:rsidRDefault="00444D80" w:rsidP="00444D80">
      <w:pPr>
        <w:rPr>
          <w:lang w:val="en-ZA"/>
        </w:rPr>
      </w:pPr>
    </w:p>
    <w:p w14:paraId="43981128" w14:textId="703E3BCE" w:rsidR="00444D80" w:rsidRPr="002E15B6" w:rsidRDefault="00444D80" w:rsidP="00444D80">
      <w:pPr>
        <w:rPr>
          <w:lang w:val="en-ZA"/>
        </w:rPr>
      </w:pPr>
      <w:r>
        <w:rPr>
          <w:lang w:val="en-ZA"/>
        </w:rPr>
        <w:t xml:space="preserve">Supporting the PDP and </w:t>
      </w:r>
      <w:r w:rsidR="00BF6048">
        <w:rPr>
          <w:lang w:val="en-ZA"/>
        </w:rPr>
        <w:t>PM</w:t>
      </w:r>
      <w:r>
        <w:rPr>
          <w:lang w:val="en-ZA"/>
        </w:rPr>
        <w:t xml:space="preserve"> process is an institutional </w:t>
      </w:r>
      <w:r w:rsidRPr="00EF224A">
        <w:rPr>
          <w:b/>
          <w:bCs/>
          <w:lang w:val="en-ZA"/>
        </w:rPr>
        <w:t>Competency Framework</w:t>
      </w:r>
      <w:r>
        <w:rPr>
          <w:lang w:val="en-ZA"/>
        </w:rPr>
        <w:t xml:space="preserve">, which </w:t>
      </w:r>
      <w:r w:rsidRPr="002E15B6">
        <w:rPr>
          <w:lang w:val="en-ZA"/>
        </w:rPr>
        <w:t xml:space="preserve">outlines the key skills, behaviours, and knowledge areas expected of staff in various roles across the university. It provides a common language for discussing performance and development, making expectations clear and helping staff </w:t>
      </w:r>
      <w:r w:rsidR="00284367">
        <w:rPr>
          <w:lang w:val="en-ZA"/>
        </w:rPr>
        <w:t xml:space="preserve">to </w:t>
      </w:r>
      <w:r w:rsidRPr="002E15B6">
        <w:rPr>
          <w:lang w:val="en-ZA"/>
        </w:rPr>
        <w:t xml:space="preserve">understand the standards they are working toward. This framework feeds directly into </w:t>
      </w:r>
      <w:r w:rsidR="00284367">
        <w:rPr>
          <w:lang w:val="en-ZA"/>
        </w:rPr>
        <w:t xml:space="preserve">the </w:t>
      </w:r>
      <w:r w:rsidRPr="002E15B6">
        <w:rPr>
          <w:lang w:val="en-ZA"/>
        </w:rPr>
        <w:t>individual development plans, as it helps staff and supervisors pinpoint which competencies are strengths and which may need further attention or development.</w:t>
      </w:r>
      <w:r>
        <w:rPr>
          <w:lang w:val="en-ZA"/>
        </w:rPr>
        <w:t xml:space="preserve"> </w:t>
      </w:r>
      <w:r w:rsidR="004C7F62" w:rsidRPr="004C7F62">
        <w:rPr>
          <w:b/>
          <w:bCs/>
          <w:color w:val="000000" w:themeColor="text1"/>
          <w:lang w:val="en-ZA"/>
        </w:rPr>
        <w:t>Links to e</w:t>
      </w:r>
      <w:r w:rsidRPr="004C7F62">
        <w:rPr>
          <w:b/>
          <w:bCs/>
          <w:color w:val="000000" w:themeColor="text1"/>
          <w:lang w:val="en-ZA"/>
        </w:rPr>
        <w:t>xample</w:t>
      </w:r>
      <w:r w:rsidR="004C7F62" w:rsidRPr="004C7F62">
        <w:rPr>
          <w:b/>
          <w:bCs/>
          <w:color w:val="000000" w:themeColor="text1"/>
          <w:lang w:val="en-ZA"/>
        </w:rPr>
        <w:t>s</w:t>
      </w:r>
      <w:r w:rsidRPr="004C7F62">
        <w:rPr>
          <w:b/>
          <w:bCs/>
          <w:color w:val="000000" w:themeColor="text1"/>
          <w:lang w:val="en-ZA"/>
        </w:rPr>
        <w:t xml:space="preserve"> of </w:t>
      </w:r>
      <w:r w:rsidR="004C7F62" w:rsidRPr="004C7F62">
        <w:rPr>
          <w:b/>
          <w:bCs/>
          <w:color w:val="000000" w:themeColor="text1"/>
          <w:lang w:val="en-ZA"/>
        </w:rPr>
        <w:t>c</w:t>
      </w:r>
      <w:r w:rsidRPr="004C7F62">
        <w:rPr>
          <w:b/>
          <w:bCs/>
          <w:color w:val="000000" w:themeColor="text1"/>
          <w:lang w:val="en-ZA"/>
        </w:rPr>
        <w:t>ompetency framework</w:t>
      </w:r>
      <w:r w:rsidR="004C7F62" w:rsidRPr="004C7F62">
        <w:rPr>
          <w:b/>
          <w:bCs/>
          <w:color w:val="000000" w:themeColor="text1"/>
          <w:lang w:val="en-ZA"/>
        </w:rPr>
        <w:t>s are</w:t>
      </w:r>
      <w:r w:rsidRPr="004C7F62">
        <w:rPr>
          <w:b/>
          <w:bCs/>
          <w:color w:val="000000" w:themeColor="text1"/>
          <w:lang w:val="en-ZA"/>
        </w:rPr>
        <w:t xml:space="preserve"> provided in </w:t>
      </w:r>
      <w:r w:rsidR="00396AA4">
        <w:rPr>
          <w:b/>
          <w:bCs/>
          <w:color w:val="000000" w:themeColor="text1"/>
          <w:lang w:val="en-ZA"/>
        </w:rPr>
        <w:t>the List of Resources</w:t>
      </w:r>
      <w:r w:rsidRPr="004C7F62">
        <w:rPr>
          <w:b/>
          <w:bCs/>
          <w:color w:val="000000" w:themeColor="text1"/>
          <w:lang w:val="en-ZA"/>
        </w:rPr>
        <w:t>.</w:t>
      </w:r>
    </w:p>
    <w:p w14:paraId="3BD71448" w14:textId="77777777" w:rsidR="00444D80" w:rsidRPr="002E15B6" w:rsidRDefault="00444D80" w:rsidP="00444D80">
      <w:pPr>
        <w:rPr>
          <w:lang w:val="en-ZA"/>
        </w:rPr>
      </w:pPr>
    </w:p>
    <w:p w14:paraId="3C092F9D" w14:textId="1903C79A" w:rsidR="003119A6" w:rsidRDefault="00444D80" w:rsidP="003119A6">
      <w:pPr>
        <w:rPr>
          <w:lang w:val="en-ZA"/>
        </w:rPr>
      </w:pPr>
      <w:r w:rsidRPr="002E15B6">
        <w:rPr>
          <w:lang w:val="en-ZA"/>
        </w:rPr>
        <w:t xml:space="preserve">The </w:t>
      </w:r>
      <w:r w:rsidRPr="00EF224A">
        <w:rPr>
          <w:b/>
          <w:bCs/>
          <w:lang w:val="en-ZA"/>
        </w:rPr>
        <w:t>PM policy formalises how staff performance is reviewed and supported</w:t>
      </w:r>
      <w:r w:rsidRPr="002E15B6">
        <w:rPr>
          <w:lang w:val="en-ZA"/>
        </w:rPr>
        <w:t xml:space="preserve">. </w:t>
      </w:r>
      <w:r>
        <w:rPr>
          <w:lang w:val="en-ZA"/>
        </w:rPr>
        <w:t xml:space="preserve">The cyclical </w:t>
      </w:r>
      <w:r w:rsidR="002A6A65">
        <w:rPr>
          <w:lang w:val="en-ZA"/>
        </w:rPr>
        <w:t xml:space="preserve">PM </w:t>
      </w:r>
      <w:r>
        <w:rPr>
          <w:lang w:val="en-ZA"/>
        </w:rPr>
        <w:t>process typically includes biannual meetings with supervisors</w:t>
      </w:r>
      <w:r w:rsidR="002A6A65">
        <w:rPr>
          <w:lang w:val="en-ZA"/>
        </w:rPr>
        <w:t>/managers</w:t>
      </w:r>
      <w:r>
        <w:rPr>
          <w:lang w:val="en-ZA"/>
        </w:rPr>
        <w:t xml:space="preserve"> to discuss performance, review indicators, and reflect on developmental paths. </w:t>
      </w:r>
      <w:r w:rsidRPr="002E15B6">
        <w:rPr>
          <w:lang w:val="en-ZA"/>
        </w:rPr>
        <w:t>Th</w:t>
      </w:r>
      <w:r w:rsidR="002A6A65">
        <w:rPr>
          <w:lang w:val="en-ZA"/>
        </w:rPr>
        <w:t>e PM</w:t>
      </w:r>
      <w:r w:rsidRPr="002E15B6">
        <w:rPr>
          <w:lang w:val="en-ZA"/>
        </w:rPr>
        <w:t xml:space="preserve"> policy </w:t>
      </w:r>
      <w:r>
        <w:rPr>
          <w:lang w:val="en-ZA"/>
        </w:rPr>
        <w:t xml:space="preserve">aims to create a </w:t>
      </w:r>
      <w:r w:rsidRPr="00EF224A">
        <w:rPr>
          <w:b/>
          <w:bCs/>
          <w:lang w:val="en-ZA"/>
        </w:rPr>
        <w:t xml:space="preserve">standardised process </w:t>
      </w:r>
      <w:r w:rsidR="001C1C98">
        <w:rPr>
          <w:b/>
          <w:bCs/>
          <w:lang w:val="en-ZA"/>
        </w:rPr>
        <w:t>for</w:t>
      </w:r>
      <w:r w:rsidRPr="00EF224A">
        <w:rPr>
          <w:b/>
          <w:bCs/>
          <w:lang w:val="en-ZA"/>
        </w:rPr>
        <w:t xml:space="preserve"> support</w:t>
      </w:r>
      <w:r w:rsidR="001C1C98">
        <w:rPr>
          <w:b/>
          <w:bCs/>
          <w:lang w:val="en-ZA"/>
        </w:rPr>
        <w:t>ing</w:t>
      </w:r>
      <w:r w:rsidRPr="00EF224A">
        <w:rPr>
          <w:b/>
          <w:bCs/>
          <w:lang w:val="en-ZA"/>
        </w:rPr>
        <w:t xml:space="preserve"> a fair evaluation of staff</w:t>
      </w:r>
      <w:r>
        <w:rPr>
          <w:lang w:val="en-ZA"/>
        </w:rPr>
        <w:t xml:space="preserve"> that optimally aligns professional efforts with institutional </w:t>
      </w:r>
      <w:proofErr w:type="gramStart"/>
      <w:r>
        <w:rPr>
          <w:lang w:val="en-ZA"/>
        </w:rPr>
        <w:t>goals, and</w:t>
      </w:r>
      <w:proofErr w:type="gramEnd"/>
      <w:r>
        <w:rPr>
          <w:lang w:val="en-ZA"/>
        </w:rPr>
        <w:t xml:space="preserve"> helps to create career paths for employees</w:t>
      </w:r>
      <w:r w:rsidRPr="002E15B6">
        <w:rPr>
          <w:lang w:val="en-ZA"/>
        </w:rPr>
        <w:t xml:space="preserve">. Importantly, </w:t>
      </w:r>
      <w:r w:rsidR="002A6A65">
        <w:rPr>
          <w:lang w:val="en-ZA"/>
        </w:rPr>
        <w:t>PM</w:t>
      </w:r>
      <w:r w:rsidRPr="002E15B6">
        <w:rPr>
          <w:lang w:val="en-ZA"/>
        </w:rPr>
        <w:t xml:space="preserve"> connects directly to personal development by </w:t>
      </w:r>
      <w:r w:rsidR="002A6A65">
        <w:rPr>
          <w:lang w:val="en-ZA"/>
        </w:rPr>
        <w:t>pursuing</w:t>
      </w:r>
      <w:r w:rsidR="00FC077A">
        <w:rPr>
          <w:lang w:val="en-ZA"/>
        </w:rPr>
        <w:t xml:space="preserve"> both personal and professional</w:t>
      </w:r>
      <w:r w:rsidRPr="002E15B6">
        <w:rPr>
          <w:lang w:val="en-ZA"/>
        </w:rPr>
        <w:t xml:space="preserve"> development needs and opportunities arising from </w:t>
      </w:r>
      <w:r w:rsidR="00FC077A">
        <w:rPr>
          <w:lang w:val="en-ZA"/>
        </w:rPr>
        <w:t>PDPs</w:t>
      </w:r>
      <w:r w:rsidR="00A1205A">
        <w:rPr>
          <w:lang w:val="en-ZA"/>
        </w:rPr>
        <w:t xml:space="preserve">, the Competency Framework, </w:t>
      </w:r>
      <w:r w:rsidR="00FC077A">
        <w:rPr>
          <w:lang w:val="en-ZA"/>
        </w:rPr>
        <w:t xml:space="preserve">and </w:t>
      </w:r>
      <w:r w:rsidRPr="002E15B6">
        <w:rPr>
          <w:lang w:val="en-ZA"/>
        </w:rPr>
        <w:t>performance reviews.</w:t>
      </w:r>
      <w:r>
        <w:rPr>
          <w:lang w:val="en-ZA"/>
        </w:rPr>
        <w:t xml:space="preserve"> </w:t>
      </w:r>
      <w:r w:rsidRPr="00BA54E1">
        <w:rPr>
          <w:b/>
          <w:bCs/>
          <w:color w:val="000000" w:themeColor="text1"/>
          <w:lang w:val="en-ZA"/>
        </w:rPr>
        <w:t xml:space="preserve">A PM policy </w:t>
      </w:r>
      <w:r w:rsidR="001C1C98">
        <w:rPr>
          <w:b/>
          <w:bCs/>
          <w:color w:val="000000" w:themeColor="text1"/>
          <w:lang w:val="en-ZA"/>
        </w:rPr>
        <w:t xml:space="preserve">template </w:t>
      </w:r>
      <w:r w:rsidRPr="00BA54E1">
        <w:rPr>
          <w:b/>
          <w:bCs/>
          <w:color w:val="000000" w:themeColor="text1"/>
          <w:lang w:val="en-ZA"/>
        </w:rPr>
        <w:t xml:space="preserve">is provided in Appendix </w:t>
      </w:r>
      <w:r w:rsidR="00FC077A">
        <w:rPr>
          <w:b/>
          <w:bCs/>
          <w:color w:val="000000" w:themeColor="text1"/>
          <w:lang w:val="en-ZA"/>
        </w:rPr>
        <w:t>E</w:t>
      </w:r>
      <w:r w:rsidRPr="00BA54E1">
        <w:rPr>
          <w:b/>
          <w:bCs/>
          <w:color w:val="000000" w:themeColor="text1"/>
          <w:lang w:val="en-ZA"/>
        </w:rPr>
        <w:t>.</w:t>
      </w:r>
      <w:r w:rsidR="003119A6">
        <w:rPr>
          <w:b/>
          <w:bCs/>
          <w:color w:val="000000" w:themeColor="text1"/>
          <w:lang w:val="en-ZA"/>
        </w:rPr>
        <w:t xml:space="preserve"> </w:t>
      </w:r>
    </w:p>
    <w:p w14:paraId="47746976" w14:textId="77777777" w:rsidR="003119A6" w:rsidRDefault="003119A6" w:rsidP="003119A6">
      <w:pPr>
        <w:rPr>
          <w:lang w:val="en-ZA"/>
        </w:rPr>
      </w:pPr>
    </w:p>
    <w:p w14:paraId="57FE9C06" w14:textId="2C75627B" w:rsidR="003119A6" w:rsidRDefault="003119A6" w:rsidP="003119A6">
      <w:pPr>
        <w:rPr>
          <w:lang w:val="en-ZA"/>
        </w:rPr>
      </w:pPr>
      <w:r>
        <w:rPr>
          <w:lang w:val="en-ZA"/>
        </w:rPr>
        <w:t>New employees need to understand that a</w:t>
      </w:r>
      <w:r w:rsidRPr="00903DE9">
        <w:rPr>
          <w:lang w:val="en-ZA"/>
        </w:rPr>
        <w:t xml:space="preserve"> well-implemented </w:t>
      </w:r>
      <w:r w:rsidR="001C1C98">
        <w:rPr>
          <w:lang w:val="en-ZA"/>
        </w:rPr>
        <w:t>PM</w:t>
      </w:r>
      <w:r>
        <w:rPr>
          <w:lang w:val="en-ZA"/>
        </w:rPr>
        <w:t xml:space="preserve"> system</w:t>
      </w:r>
      <w:r w:rsidRPr="00903DE9">
        <w:rPr>
          <w:lang w:val="en-ZA"/>
        </w:rPr>
        <w:t xml:space="preserve"> and staff development framework fosters a culture of continuous improvement, engagement, and mutual growth. It </w:t>
      </w:r>
      <w:r>
        <w:rPr>
          <w:lang w:val="en-ZA"/>
        </w:rPr>
        <w:t xml:space="preserve">further </w:t>
      </w:r>
      <w:r w:rsidRPr="00903DE9">
        <w:rPr>
          <w:lang w:val="en-ZA"/>
        </w:rPr>
        <w:t>signals the university's commitment to its staff, encouraging ownership of professional development and contributing to a more skilled, motivated, and high-performing workforce.</w:t>
      </w:r>
      <w:r w:rsidR="002326D6">
        <w:rPr>
          <w:lang w:val="en-ZA"/>
        </w:rPr>
        <w:t xml:space="preserve"> </w:t>
      </w:r>
    </w:p>
    <w:p w14:paraId="54805482" w14:textId="77777777" w:rsidR="000E5A37" w:rsidRDefault="000E5A37" w:rsidP="003119A6">
      <w:pPr>
        <w:rPr>
          <w:lang w:val="en-ZA"/>
        </w:rPr>
      </w:pPr>
    </w:p>
    <w:p w14:paraId="48EB9736" w14:textId="05DBD872" w:rsidR="00FB1842" w:rsidRDefault="000E5A37" w:rsidP="003119A6">
      <w:pPr>
        <w:rPr>
          <w:b/>
          <w:bCs/>
          <w:color w:val="000000" w:themeColor="text1"/>
          <w:lang w:val="en-ZA"/>
        </w:rPr>
      </w:pPr>
      <w:r w:rsidRPr="16F7447F">
        <w:rPr>
          <w:lang w:val="en-ZA"/>
        </w:rPr>
        <w:t xml:space="preserve">A </w:t>
      </w:r>
      <w:r w:rsidRPr="16F7447F">
        <w:rPr>
          <w:b/>
          <w:bCs/>
          <w:lang w:val="en-ZA"/>
        </w:rPr>
        <w:t>Staff Development policy</w:t>
      </w:r>
      <w:r w:rsidRPr="16F7447F">
        <w:rPr>
          <w:lang w:val="en-ZA"/>
        </w:rPr>
        <w:t xml:space="preserve"> </w:t>
      </w:r>
      <w:r w:rsidR="001C1C98">
        <w:rPr>
          <w:lang w:val="en-ZA"/>
        </w:rPr>
        <w:t>is</w:t>
      </w:r>
      <w:r w:rsidRPr="16F7447F">
        <w:rPr>
          <w:lang w:val="en-ZA"/>
        </w:rPr>
        <w:t xml:space="preserve"> strong</w:t>
      </w:r>
      <w:r w:rsidR="001C1C98">
        <w:rPr>
          <w:lang w:val="en-ZA"/>
        </w:rPr>
        <w:t>ly</w:t>
      </w:r>
      <w:r w:rsidRPr="16F7447F">
        <w:rPr>
          <w:lang w:val="en-ZA"/>
        </w:rPr>
        <w:t xml:space="preserve"> focus</w:t>
      </w:r>
      <w:r w:rsidR="001C1C98">
        <w:rPr>
          <w:lang w:val="en-ZA"/>
        </w:rPr>
        <w:t>ed</w:t>
      </w:r>
      <w:r w:rsidRPr="16F7447F">
        <w:rPr>
          <w:lang w:val="en-ZA"/>
        </w:rPr>
        <w:t xml:space="preserve"> on institutional efforts to support staff growth, career progression, leadership development, and alignment with the university’s strategic goals. </w:t>
      </w:r>
      <w:r w:rsidR="001C1C98">
        <w:rPr>
          <w:lang w:val="en-ZA"/>
        </w:rPr>
        <w:t>Such a policy</w:t>
      </w:r>
      <w:r w:rsidR="001C1C98" w:rsidRPr="16F7447F">
        <w:rPr>
          <w:lang w:val="en-ZA"/>
        </w:rPr>
        <w:t xml:space="preserve"> </w:t>
      </w:r>
      <w:r w:rsidRPr="16F7447F">
        <w:rPr>
          <w:lang w:val="en-ZA"/>
        </w:rPr>
        <w:t>m</w:t>
      </w:r>
      <w:r w:rsidR="00F9657E" w:rsidRPr="16F7447F">
        <w:rPr>
          <w:lang w:val="en-ZA"/>
        </w:rPr>
        <w:t>ay</w:t>
      </w:r>
      <w:r w:rsidRPr="16F7447F">
        <w:rPr>
          <w:lang w:val="en-ZA"/>
        </w:rPr>
        <w:t xml:space="preserve"> include initiatives such as mentoring or leadership training to support succession planning, and organi</w:t>
      </w:r>
      <w:r w:rsidR="00482B5E">
        <w:rPr>
          <w:lang w:val="en-ZA"/>
        </w:rPr>
        <w:t>s</w:t>
      </w:r>
      <w:r w:rsidRPr="16F7447F">
        <w:rPr>
          <w:lang w:val="en-ZA"/>
        </w:rPr>
        <w:t>ational development programs that align with the institutional Competency Framework.</w:t>
      </w:r>
      <w:r w:rsidR="00823E06">
        <w:rPr>
          <w:lang w:val="en-ZA"/>
        </w:rPr>
        <w:t xml:space="preserve"> </w:t>
      </w:r>
      <w:r w:rsidR="002837FE">
        <w:rPr>
          <w:lang w:val="en-ZA"/>
        </w:rPr>
        <w:t xml:space="preserve">Staff development policies are typically broad and cater for a range of development opportunities for </w:t>
      </w:r>
      <w:r w:rsidR="001C1C98">
        <w:rPr>
          <w:lang w:val="en-ZA"/>
        </w:rPr>
        <w:t xml:space="preserve">a variety of </w:t>
      </w:r>
      <w:r w:rsidR="00F43483">
        <w:rPr>
          <w:lang w:val="en-ZA"/>
        </w:rPr>
        <w:t xml:space="preserve">different staff appointments. Such policies should be clear about </w:t>
      </w:r>
      <w:r w:rsidR="00C532C4">
        <w:rPr>
          <w:lang w:val="en-ZA"/>
        </w:rPr>
        <w:t xml:space="preserve">the value </w:t>
      </w:r>
      <w:r w:rsidR="001C1C98">
        <w:rPr>
          <w:lang w:val="en-ZA"/>
        </w:rPr>
        <w:t xml:space="preserve">that </w:t>
      </w:r>
      <w:r w:rsidR="00C532C4">
        <w:rPr>
          <w:lang w:val="en-ZA"/>
        </w:rPr>
        <w:t>the institution places on staff development</w:t>
      </w:r>
      <w:r w:rsidR="001B08DB">
        <w:rPr>
          <w:lang w:val="en-ZA"/>
        </w:rPr>
        <w:t>,</w:t>
      </w:r>
      <w:r w:rsidR="00C532C4">
        <w:rPr>
          <w:lang w:val="en-ZA"/>
        </w:rPr>
        <w:t xml:space="preserve"> </w:t>
      </w:r>
      <w:r w:rsidR="001B08DB">
        <w:rPr>
          <w:lang w:val="en-ZA"/>
        </w:rPr>
        <w:t>how institutions will support such efforts, and how development efforts will benefit all parties</w:t>
      </w:r>
      <w:r w:rsidR="00BF5BDE">
        <w:rPr>
          <w:lang w:val="en-ZA"/>
        </w:rPr>
        <w:t xml:space="preserve"> (e.g., supporting a staff member to obtain a </w:t>
      </w:r>
      <w:r w:rsidR="00CE48F2">
        <w:rPr>
          <w:lang w:val="en-ZA"/>
        </w:rPr>
        <w:t xml:space="preserve">postgraduate qualification, </w:t>
      </w:r>
      <w:r w:rsidR="003463A6">
        <w:rPr>
          <w:lang w:val="en-ZA"/>
        </w:rPr>
        <w:t>where the institution and students benefit from the staff member’s acquired knowledge, skills, and status).</w:t>
      </w:r>
      <w:r w:rsidR="00890DEE" w:rsidRPr="16F7447F">
        <w:rPr>
          <w:lang w:val="en-ZA"/>
        </w:rPr>
        <w:t xml:space="preserve"> </w:t>
      </w:r>
      <w:r w:rsidR="00A608AB" w:rsidRPr="16F7447F">
        <w:rPr>
          <w:b/>
          <w:bCs/>
          <w:color w:val="000000" w:themeColor="text1"/>
          <w:lang w:val="en-ZA"/>
        </w:rPr>
        <w:t>Appendix F provides a template for a Staff Development policy</w:t>
      </w:r>
      <w:r w:rsidR="00A608AB">
        <w:rPr>
          <w:b/>
          <w:bCs/>
          <w:color w:val="000000" w:themeColor="text1"/>
          <w:lang w:val="en-ZA"/>
        </w:rPr>
        <w:t>.</w:t>
      </w:r>
    </w:p>
    <w:p w14:paraId="66EE8AEC" w14:textId="77777777" w:rsidR="00FB1842" w:rsidRDefault="00FB1842" w:rsidP="003119A6">
      <w:pPr>
        <w:rPr>
          <w:lang w:val="en-ZA"/>
        </w:rPr>
      </w:pPr>
    </w:p>
    <w:p w14:paraId="3BA4A76D" w14:textId="6FAAFADC" w:rsidR="00060271" w:rsidRDefault="001C1C98" w:rsidP="003119A6">
      <w:pPr>
        <w:rPr>
          <w:color w:val="000000" w:themeColor="text1"/>
          <w:lang w:val="en-ZA"/>
        </w:rPr>
      </w:pPr>
      <w:r>
        <w:rPr>
          <w:b/>
          <w:bCs/>
          <w:lang w:val="en-ZA"/>
        </w:rPr>
        <w:t>CPD is strongly r</w:t>
      </w:r>
      <w:r w:rsidR="00890DEE" w:rsidRPr="007F2CA6">
        <w:rPr>
          <w:b/>
          <w:bCs/>
          <w:lang w:val="en-ZA"/>
        </w:rPr>
        <w:t>elated to staff development</w:t>
      </w:r>
      <w:r w:rsidR="00890DEE" w:rsidRPr="00227D64">
        <w:rPr>
          <w:lang w:val="en-ZA"/>
        </w:rPr>
        <w:t xml:space="preserve"> </w:t>
      </w:r>
      <w:r w:rsidR="00F24344" w:rsidRPr="00227D64">
        <w:rPr>
          <w:lang w:val="en-ZA"/>
        </w:rPr>
        <w:t xml:space="preserve">and involves </w:t>
      </w:r>
      <w:r w:rsidR="00F24344">
        <w:rPr>
          <w:lang w:val="en-ZA"/>
        </w:rPr>
        <w:t>i</w:t>
      </w:r>
      <w:r w:rsidR="00890DEE" w:rsidRPr="007F2CA6">
        <w:rPr>
          <w:lang w:val="en-ZA"/>
        </w:rPr>
        <w:t xml:space="preserve">nstitutions </w:t>
      </w:r>
      <w:r w:rsidR="00F24344" w:rsidRPr="007F2CA6">
        <w:rPr>
          <w:lang w:val="en-ZA"/>
        </w:rPr>
        <w:t>encourag</w:t>
      </w:r>
      <w:r w:rsidR="00F24344">
        <w:rPr>
          <w:lang w:val="en-ZA"/>
        </w:rPr>
        <w:t>ing</w:t>
      </w:r>
      <w:r w:rsidR="00F24344" w:rsidRPr="007F2CA6">
        <w:rPr>
          <w:lang w:val="en-ZA"/>
        </w:rPr>
        <w:t xml:space="preserve"> </w:t>
      </w:r>
      <w:r w:rsidR="00890DEE" w:rsidRPr="007F2CA6">
        <w:rPr>
          <w:lang w:val="en-ZA"/>
        </w:rPr>
        <w:t xml:space="preserve">academic and </w:t>
      </w:r>
      <w:r w:rsidR="00474774">
        <w:rPr>
          <w:lang w:val="en-ZA"/>
        </w:rPr>
        <w:t>non-academic</w:t>
      </w:r>
      <w:r w:rsidR="00890DEE" w:rsidRPr="007F2CA6">
        <w:rPr>
          <w:lang w:val="en-ZA"/>
        </w:rPr>
        <w:t xml:space="preserve"> staff to engage in continuous learning and development through CPD</w:t>
      </w:r>
      <w:r w:rsidR="00890DEE" w:rsidRPr="16F7447F">
        <w:rPr>
          <w:lang w:val="en-ZA"/>
        </w:rPr>
        <w:t xml:space="preserve"> policy statements</w:t>
      </w:r>
      <w:r w:rsidR="003474B6">
        <w:rPr>
          <w:lang w:val="en-ZA"/>
        </w:rPr>
        <w:t>, strategies, or frameworks. CPD</w:t>
      </w:r>
      <w:r w:rsidR="00890DEE" w:rsidRPr="16F7447F">
        <w:rPr>
          <w:lang w:val="en-ZA"/>
        </w:rPr>
        <w:t xml:space="preserve"> focuses specifically on continually updating </w:t>
      </w:r>
      <w:r w:rsidR="002B0FF1" w:rsidRPr="16F7447F">
        <w:rPr>
          <w:lang w:val="en-ZA"/>
        </w:rPr>
        <w:t>career-specific</w:t>
      </w:r>
      <w:r w:rsidR="00890DEE" w:rsidRPr="16F7447F">
        <w:rPr>
          <w:lang w:val="en-ZA"/>
        </w:rPr>
        <w:t xml:space="preserve"> skills, knowledge, and competencies </w:t>
      </w:r>
      <w:r w:rsidR="00F24344">
        <w:rPr>
          <w:lang w:val="en-ZA"/>
        </w:rPr>
        <w:t xml:space="preserve">for staff </w:t>
      </w:r>
      <w:r w:rsidR="00890DEE" w:rsidRPr="16F7447F">
        <w:rPr>
          <w:lang w:val="en-ZA"/>
        </w:rPr>
        <w:t xml:space="preserve">to stay current in their roles. This often includes activities like attending workshops, pursuing certifications, engaging in professional networks, or staying informed about new research or sector trends. CPD is often required by professional boards and is particularly relevant for academic and specialist staff who </w:t>
      </w:r>
      <w:r w:rsidR="00F24344">
        <w:rPr>
          <w:lang w:val="en-ZA"/>
        </w:rPr>
        <w:t>are required to</w:t>
      </w:r>
      <w:r w:rsidR="00F24344" w:rsidRPr="16F7447F">
        <w:rPr>
          <w:lang w:val="en-ZA"/>
        </w:rPr>
        <w:t xml:space="preserve"> </w:t>
      </w:r>
      <w:r w:rsidR="00890DEE" w:rsidRPr="16F7447F">
        <w:rPr>
          <w:lang w:val="en-ZA"/>
        </w:rPr>
        <w:t>meet evolving professional standards</w:t>
      </w:r>
      <w:r w:rsidR="00890DEE" w:rsidRPr="002218DD">
        <w:rPr>
          <w:lang w:val="en-ZA"/>
        </w:rPr>
        <w:t>.</w:t>
      </w:r>
      <w:r w:rsidR="003474B6" w:rsidRPr="002218DD">
        <w:rPr>
          <w:color w:val="000000" w:themeColor="text1"/>
          <w:lang w:val="en-ZA"/>
        </w:rPr>
        <w:t xml:space="preserve"> </w:t>
      </w:r>
      <w:r w:rsidR="002218DD" w:rsidRPr="002218DD">
        <w:rPr>
          <w:color w:val="000000" w:themeColor="text1"/>
          <w:lang w:val="en-ZA"/>
        </w:rPr>
        <w:t>CPD</w:t>
      </w:r>
      <w:r w:rsidR="002218DD">
        <w:rPr>
          <w:b/>
          <w:bCs/>
          <w:color w:val="000000" w:themeColor="text1"/>
          <w:lang w:val="en-ZA"/>
        </w:rPr>
        <w:t xml:space="preserve"> </w:t>
      </w:r>
      <w:r w:rsidR="002218DD">
        <w:rPr>
          <w:color w:val="000000" w:themeColor="text1"/>
          <w:lang w:val="en-ZA"/>
        </w:rPr>
        <w:t xml:space="preserve">is a core component of </w:t>
      </w:r>
      <w:r w:rsidR="003474B6">
        <w:rPr>
          <w:color w:val="000000" w:themeColor="text1"/>
          <w:lang w:val="en-ZA"/>
        </w:rPr>
        <w:t>OER Africa</w:t>
      </w:r>
      <w:r w:rsidR="002218DD">
        <w:rPr>
          <w:color w:val="000000" w:themeColor="text1"/>
          <w:lang w:val="en-ZA"/>
        </w:rPr>
        <w:t xml:space="preserve">’s drive to support the development of African </w:t>
      </w:r>
      <w:r w:rsidR="00FF4A7C">
        <w:rPr>
          <w:color w:val="000000" w:themeColor="text1"/>
          <w:lang w:val="en-ZA"/>
        </w:rPr>
        <w:t>universities and higher education systems.</w:t>
      </w:r>
      <w:r w:rsidR="00F86326">
        <w:rPr>
          <w:rStyle w:val="FootnoteReference"/>
          <w:color w:val="000000" w:themeColor="text1"/>
          <w:lang w:val="en-ZA"/>
        </w:rPr>
        <w:footnoteReference w:id="2"/>
      </w:r>
      <w:r w:rsidR="00FF4A7C">
        <w:rPr>
          <w:color w:val="000000" w:themeColor="text1"/>
          <w:lang w:val="en-ZA"/>
        </w:rPr>
        <w:t xml:space="preserve"> </w:t>
      </w:r>
      <w:r w:rsidR="00955352">
        <w:rPr>
          <w:color w:val="000000" w:themeColor="text1"/>
          <w:lang w:val="en-ZA"/>
        </w:rPr>
        <w:t xml:space="preserve">It has developed a CPD framework consisting of 11 </w:t>
      </w:r>
      <w:r w:rsidR="00A06090">
        <w:rPr>
          <w:color w:val="000000" w:themeColor="text1"/>
          <w:lang w:val="en-ZA"/>
        </w:rPr>
        <w:t>domains of professional development</w:t>
      </w:r>
      <w:r w:rsidR="00F86326">
        <w:rPr>
          <w:color w:val="000000" w:themeColor="text1"/>
          <w:lang w:val="en-ZA"/>
        </w:rPr>
        <w:t xml:space="preserve">, </w:t>
      </w:r>
      <w:r w:rsidR="00F24344">
        <w:rPr>
          <w:color w:val="000000" w:themeColor="text1"/>
          <w:lang w:val="en-ZA"/>
        </w:rPr>
        <w:t xml:space="preserve">as </w:t>
      </w:r>
      <w:r w:rsidR="00F86326">
        <w:rPr>
          <w:color w:val="000000" w:themeColor="text1"/>
          <w:lang w:val="en-ZA"/>
        </w:rPr>
        <w:t xml:space="preserve">shown in Figure 3. </w:t>
      </w:r>
      <w:r w:rsidR="00F24344">
        <w:rPr>
          <w:color w:val="000000" w:themeColor="text1"/>
          <w:lang w:val="en-ZA"/>
        </w:rPr>
        <w:t>OER Africa has developed r</w:t>
      </w:r>
      <w:r w:rsidR="00C63216">
        <w:rPr>
          <w:color w:val="000000" w:themeColor="text1"/>
          <w:lang w:val="en-ZA"/>
        </w:rPr>
        <w:t xml:space="preserve">esources for four </w:t>
      </w:r>
      <w:r w:rsidR="00F24344">
        <w:rPr>
          <w:color w:val="000000" w:themeColor="text1"/>
          <w:lang w:val="en-ZA"/>
        </w:rPr>
        <w:t xml:space="preserve">of these </w:t>
      </w:r>
      <w:r w:rsidR="00C63216">
        <w:rPr>
          <w:color w:val="000000" w:themeColor="text1"/>
          <w:lang w:val="en-ZA"/>
        </w:rPr>
        <w:t>domains</w:t>
      </w:r>
      <w:r w:rsidR="00607830">
        <w:rPr>
          <w:color w:val="000000" w:themeColor="text1"/>
          <w:lang w:val="en-ZA"/>
        </w:rPr>
        <w:t xml:space="preserve">, namely </w:t>
      </w:r>
      <w:r w:rsidR="00C63216" w:rsidRPr="00C63216">
        <w:rPr>
          <w:color w:val="000000" w:themeColor="text1"/>
          <w:lang w:val="en-ZA"/>
        </w:rPr>
        <w:t>Course Design</w:t>
      </w:r>
      <w:r w:rsidR="00607830">
        <w:rPr>
          <w:color w:val="000000" w:themeColor="text1"/>
          <w:lang w:val="en-ZA"/>
        </w:rPr>
        <w:t xml:space="preserve">, </w:t>
      </w:r>
      <w:r w:rsidR="00C63216" w:rsidRPr="00C63216">
        <w:rPr>
          <w:color w:val="000000" w:themeColor="text1"/>
          <w:lang w:val="en-ZA"/>
        </w:rPr>
        <w:t>Materials Development</w:t>
      </w:r>
      <w:r w:rsidR="00607830">
        <w:rPr>
          <w:color w:val="000000" w:themeColor="text1"/>
          <w:lang w:val="en-ZA"/>
        </w:rPr>
        <w:t xml:space="preserve">, </w:t>
      </w:r>
      <w:r w:rsidR="00F24344">
        <w:rPr>
          <w:color w:val="000000" w:themeColor="text1"/>
          <w:lang w:val="en-ZA"/>
        </w:rPr>
        <w:t xml:space="preserve">Learning </w:t>
      </w:r>
      <w:r w:rsidR="00F24344" w:rsidRPr="00C63216">
        <w:rPr>
          <w:color w:val="000000" w:themeColor="text1"/>
          <w:lang w:val="en-ZA"/>
        </w:rPr>
        <w:t>Facilitati</w:t>
      </w:r>
      <w:r w:rsidR="00F24344">
        <w:rPr>
          <w:color w:val="000000" w:themeColor="text1"/>
          <w:lang w:val="en-ZA"/>
        </w:rPr>
        <w:t>on</w:t>
      </w:r>
      <w:r w:rsidR="00607830">
        <w:rPr>
          <w:color w:val="000000" w:themeColor="text1"/>
          <w:lang w:val="en-ZA"/>
        </w:rPr>
        <w:t xml:space="preserve">, and </w:t>
      </w:r>
      <w:r w:rsidR="00C63216" w:rsidRPr="00C63216">
        <w:rPr>
          <w:color w:val="000000" w:themeColor="text1"/>
          <w:lang w:val="en-ZA"/>
        </w:rPr>
        <w:t>Effective Assessment and Feedback</w:t>
      </w:r>
      <w:r w:rsidR="000F5593">
        <w:rPr>
          <w:color w:val="000000" w:themeColor="text1"/>
          <w:lang w:val="en-ZA"/>
        </w:rPr>
        <w:t xml:space="preserve">, with </w:t>
      </w:r>
      <w:r w:rsidR="000F5593">
        <w:rPr>
          <w:color w:val="000000" w:themeColor="text1"/>
          <w:lang w:val="en-ZA"/>
        </w:rPr>
        <w:lastRenderedPageBreak/>
        <w:t xml:space="preserve">others in process. On completion of the </w:t>
      </w:r>
      <w:r w:rsidR="009A34E7">
        <w:rPr>
          <w:color w:val="000000" w:themeColor="text1"/>
          <w:lang w:val="en-ZA"/>
        </w:rPr>
        <w:t xml:space="preserve">resource development, the framework will make an important contribution to </w:t>
      </w:r>
      <w:r w:rsidR="00015053">
        <w:rPr>
          <w:color w:val="000000" w:themeColor="text1"/>
          <w:lang w:val="en-ZA"/>
        </w:rPr>
        <w:t xml:space="preserve">how universities and </w:t>
      </w:r>
      <w:r w:rsidR="006A3EC1">
        <w:rPr>
          <w:color w:val="000000" w:themeColor="text1"/>
          <w:lang w:val="en-ZA"/>
        </w:rPr>
        <w:t>academics</w:t>
      </w:r>
      <w:r w:rsidR="00015053">
        <w:rPr>
          <w:color w:val="000000" w:themeColor="text1"/>
          <w:lang w:val="en-ZA"/>
        </w:rPr>
        <w:t xml:space="preserve"> understand </w:t>
      </w:r>
      <w:r w:rsidR="00134A2F">
        <w:rPr>
          <w:color w:val="000000" w:themeColor="text1"/>
          <w:lang w:val="en-ZA"/>
        </w:rPr>
        <w:t>and implement CPD to advance the quality of teaching and learning</w:t>
      </w:r>
      <w:r w:rsidR="006A3EC1">
        <w:rPr>
          <w:color w:val="000000" w:themeColor="text1"/>
          <w:lang w:val="en-ZA"/>
        </w:rPr>
        <w:t xml:space="preserve">, research, </w:t>
      </w:r>
      <w:r w:rsidR="00366549">
        <w:rPr>
          <w:color w:val="000000" w:themeColor="text1"/>
          <w:lang w:val="en-ZA"/>
        </w:rPr>
        <w:t>institutional management, and community engagement in</w:t>
      </w:r>
      <w:r w:rsidR="00134A2F">
        <w:rPr>
          <w:color w:val="000000" w:themeColor="text1"/>
          <w:lang w:val="en-ZA"/>
        </w:rPr>
        <w:t xml:space="preserve"> higher education institutions. </w:t>
      </w:r>
    </w:p>
    <w:p w14:paraId="45D0D188" w14:textId="77777777" w:rsidR="00060271" w:rsidRDefault="00060271" w:rsidP="003119A6">
      <w:pPr>
        <w:rPr>
          <w:color w:val="000000" w:themeColor="text1"/>
          <w:lang w:val="en-ZA"/>
        </w:rPr>
      </w:pPr>
    </w:p>
    <w:p w14:paraId="3402EB25" w14:textId="184E6087" w:rsidR="00060271" w:rsidRDefault="00060271" w:rsidP="00060271">
      <w:pPr>
        <w:pStyle w:val="FigureReference"/>
        <w:rPr>
          <w:lang w:val="en-ZA"/>
        </w:rPr>
      </w:pPr>
      <w:r>
        <w:rPr>
          <w:lang w:val="en-ZA"/>
        </w:rPr>
        <w:t>OER Africa’s CPD framework and domains</w:t>
      </w:r>
    </w:p>
    <w:p w14:paraId="7C9C8633" w14:textId="6040BDE4" w:rsidR="00060271" w:rsidRPr="003474B6" w:rsidRDefault="00060271" w:rsidP="003119A6">
      <w:pPr>
        <w:rPr>
          <w:lang w:val="en-ZA"/>
        </w:rPr>
      </w:pPr>
      <w:r w:rsidRPr="00060271">
        <w:rPr>
          <w:noProof/>
          <w:lang w:val="en-ZA"/>
        </w:rPr>
        <w:drawing>
          <wp:inline distT="0" distB="0" distL="0" distR="0" wp14:anchorId="2EC1ADBE" wp14:editId="25E38D7E">
            <wp:extent cx="4057650" cy="4025232"/>
            <wp:effectExtent l="0" t="0" r="0" b="0"/>
            <wp:docPr id="662607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07865" name=""/>
                    <pic:cNvPicPr/>
                  </pic:nvPicPr>
                  <pic:blipFill>
                    <a:blip r:embed="rId24"/>
                    <a:stretch>
                      <a:fillRect/>
                    </a:stretch>
                  </pic:blipFill>
                  <pic:spPr>
                    <a:xfrm>
                      <a:off x="0" y="0"/>
                      <a:ext cx="4064686" cy="4032212"/>
                    </a:xfrm>
                    <a:prstGeom prst="rect">
                      <a:avLst/>
                    </a:prstGeom>
                  </pic:spPr>
                </pic:pic>
              </a:graphicData>
            </a:graphic>
          </wp:inline>
        </w:drawing>
      </w:r>
    </w:p>
    <w:p w14:paraId="4531E573" w14:textId="5DB468F2" w:rsidR="00444D80" w:rsidRPr="00BA54E1" w:rsidRDefault="00444D80" w:rsidP="00444D80">
      <w:pPr>
        <w:rPr>
          <w:b/>
          <w:bCs/>
          <w:color w:val="000000" w:themeColor="text1"/>
          <w:lang w:val="en-ZA"/>
        </w:rPr>
      </w:pPr>
    </w:p>
    <w:p w14:paraId="39782EAE" w14:textId="41B7A047" w:rsidR="00444D80" w:rsidRPr="003943F6" w:rsidRDefault="00444D80" w:rsidP="00444D80">
      <w:pPr>
        <w:rPr>
          <w:b/>
          <w:bCs/>
          <w:color w:val="000000" w:themeColor="text1"/>
          <w:lang w:val="en-ZA"/>
        </w:rPr>
      </w:pPr>
      <w:r w:rsidRPr="002E15B6">
        <w:rPr>
          <w:lang w:val="en-ZA"/>
        </w:rPr>
        <w:t xml:space="preserve">Finally, </w:t>
      </w:r>
      <w:r w:rsidRPr="006217B5">
        <w:rPr>
          <w:b/>
          <w:bCs/>
          <w:lang w:val="en-ZA"/>
        </w:rPr>
        <w:t>staff wellbeing</w:t>
      </w:r>
      <w:r w:rsidRPr="002E15B6">
        <w:rPr>
          <w:lang w:val="en-ZA"/>
        </w:rPr>
        <w:t xml:space="preserve"> and </w:t>
      </w:r>
      <w:r>
        <w:rPr>
          <w:lang w:val="en-ZA"/>
        </w:rPr>
        <w:t>m</w:t>
      </w:r>
      <w:r w:rsidRPr="002E15B6">
        <w:rPr>
          <w:lang w:val="en-ZA"/>
        </w:rPr>
        <w:t xml:space="preserve">ental </w:t>
      </w:r>
      <w:r>
        <w:rPr>
          <w:lang w:val="en-ZA"/>
        </w:rPr>
        <w:t>h</w:t>
      </w:r>
      <w:r w:rsidRPr="002E15B6">
        <w:rPr>
          <w:lang w:val="en-ZA"/>
        </w:rPr>
        <w:t>ealth initiatives recogni</w:t>
      </w:r>
      <w:r>
        <w:rPr>
          <w:lang w:val="en-ZA"/>
        </w:rPr>
        <w:t>s</w:t>
      </w:r>
      <w:r w:rsidRPr="002E15B6">
        <w:rPr>
          <w:lang w:val="en-ZA"/>
        </w:rPr>
        <w:t>e that personal and professional development are only sustainable when staff are supported holistically. These policies and programs focus on creating a healthy, supportive work environment, offering resources such as counselling services, flexible work arrangements, and wellbeing activities. By prioriti</w:t>
      </w:r>
      <w:r w:rsidR="00482B5E">
        <w:rPr>
          <w:lang w:val="en-ZA"/>
        </w:rPr>
        <w:t>s</w:t>
      </w:r>
      <w:r w:rsidRPr="002E15B6">
        <w:rPr>
          <w:lang w:val="en-ZA"/>
        </w:rPr>
        <w:t>ing mental health and wellbeing, the university acknowledges that staff who are well-supported emotionally and physically are better positioned to engage fully in development efforts and to contribute meaningfully to the university community.</w:t>
      </w:r>
      <w:r>
        <w:rPr>
          <w:lang w:val="en-ZA"/>
        </w:rPr>
        <w:t xml:space="preserve"> </w:t>
      </w:r>
      <w:r w:rsidRPr="003943F6">
        <w:rPr>
          <w:b/>
          <w:bCs/>
          <w:color w:val="000000" w:themeColor="text1"/>
          <w:lang w:val="en-ZA"/>
        </w:rPr>
        <w:t xml:space="preserve">A template for a mental health policy is provided in Appendix </w:t>
      </w:r>
      <w:r w:rsidR="007612C1">
        <w:rPr>
          <w:b/>
          <w:bCs/>
          <w:color w:val="000000" w:themeColor="text1"/>
          <w:lang w:val="en-ZA"/>
        </w:rPr>
        <w:t>G</w:t>
      </w:r>
      <w:r w:rsidRPr="003943F6">
        <w:rPr>
          <w:b/>
          <w:bCs/>
          <w:color w:val="000000" w:themeColor="text1"/>
          <w:lang w:val="en-ZA"/>
        </w:rPr>
        <w:t>.</w:t>
      </w:r>
    </w:p>
    <w:p w14:paraId="67AF0E8C" w14:textId="27939FF1" w:rsidR="00B57B91" w:rsidRDefault="00916B43" w:rsidP="00604F37">
      <w:pPr>
        <w:pStyle w:val="Heading4"/>
        <w:rPr>
          <w:lang w:val="en-ZA"/>
        </w:rPr>
      </w:pPr>
      <w:r w:rsidRPr="00B57B91">
        <w:rPr>
          <w:lang w:val="en-ZA"/>
        </w:rPr>
        <w:t>Promotion criteria and processes</w:t>
      </w:r>
    </w:p>
    <w:p w14:paraId="57C60CFC" w14:textId="77777777" w:rsidR="00FD22FC" w:rsidRDefault="00FD22FC" w:rsidP="00CA2738">
      <w:pPr>
        <w:rPr>
          <w:lang w:val="en-ZA"/>
        </w:rPr>
      </w:pPr>
    </w:p>
    <w:p w14:paraId="78B52177" w14:textId="1A7B09AE" w:rsidR="00D3154A" w:rsidRDefault="002518DD" w:rsidP="00CA2738">
      <w:pPr>
        <w:rPr>
          <w:lang w:val="en-ZA"/>
        </w:rPr>
      </w:pPr>
      <w:r>
        <w:rPr>
          <w:lang w:val="en-ZA"/>
        </w:rPr>
        <w:t xml:space="preserve">It is important for the </w:t>
      </w:r>
      <w:proofErr w:type="spellStart"/>
      <w:r>
        <w:rPr>
          <w:lang w:val="en-ZA"/>
        </w:rPr>
        <w:t>C</w:t>
      </w:r>
      <w:r w:rsidR="003043FE">
        <w:rPr>
          <w:lang w:val="en-ZA"/>
        </w:rPr>
        <w:t>o</w:t>
      </w:r>
      <w:r>
        <w:rPr>
          <w:lang w:val="en-ZA"/>
        </w:rPr>
        <w:t>S</w:t>
      </w:r>
      <w:proofErr w:type="spellEnd"/>
      <w:r>
        <w:rPr>
          <w:lang w:val="en-ZA"/>
        </w:rPr>
        <w:t xml:space="preserve"> document to include a </w:t>
      </w:r>
      <w:r w:rsidR="008C1FC3" w:rsidRPr="008D0EFF">
        <w:rPr>
          <w:b/>
          <w:bCs/>
          <w:lang w:val="en-ZA"/>
        </w:rPr>
        <w:t>statement on promotion criteria and processes</w:t>
      </w:r>
      <w:r w:rsidR="009D4075" w:rsidRPr="009D4075">
        <w:rPr>
          <w:lang w:val="en-ZA"/>
        </w:rPr>
        <w:t>.</w:t>
      </w:r>
      <w:r w:rsidR="00684409">
        <w:rPr>
          <w:lang w:val="en-ZA"/>
        </w:rPr>
        <w:t xml:space="preserve"> This section should </w:t>
      </w:r>
      <w:r w:rsidR="008C1FC3">
        <w:rPr>
          <w:lang w:val="en-ZA"/>
        </w:rPr>
        <w:t xml:space="preserve">reference </w:t>
      </w:r>
      <w:r w:rsidR="00DD6347">
        <w:rPr>
          <w:lang w:val="en-ZA"/>
        </w:rPr>
        <w:t xml:space="preserve">relevant documents/policies that </w:t>
      </w:r>
      <w:r w:rsidR="00684409">
        <w:rPr>
          <w:lang w:val="en-ZA"/>
        </w:rPr>
        <w:t xml:space="preserve">outline </w:t>
      </w:r>
      <w:r w:rsidR="009D4075" w:rsidRPr="009D4075">
        <w:rPr>
          <w:lang w:val="en-ZA"/>
        </w:rPr>
        <w:t xml:space="preserve">the pathways for </w:t>
      </w:r>
      <w:r>
        <w:rPr>
          <w:lang w:val="en-ZA"/>
        </w:rPr>
        <w:t xml:space="preserve">the advancement of </w:t>
      </w:r>
      <w:r w:rsidR="009D4075" w:rsidRPr="009D4075">
        <w:rPr>
          <w:lang w:val="en-ZA"/>
        </w:rPr>
        <w:t>academic</w:t>
      </w:r>
      <w:r w:rsidR="000F2BA9">
        <w:rPr>
          <w:lang w:val="en-ZA"/>
        </w:rPr>
        <w:t>, administrative,</w:t>
      </w:r>
      <w:r w:rsidR="009D4075" w:rsidRPr="009D4075">
        <w:rPr>
          <w:lang w:val="en-ZA"/>
        </w:rPr>
        <w:t xml:space="preserve"> and professional </w:t>
      </w:r>
      <w:r w:rsidR="000F2BA9">
        <w:rPr>
          <w:lang w:val="en-ZA"/>
        </w:rPr>
        <w:t xml:space="preserve">non-academic </w:t>
      </w:r>
      <w:r w:rsidR="009D4075" w:rsidRPr="009D4075">
        <w:rPr>
          <w:lang w:val="en-ZA"/>
        </w:rPr>
        <w:t>staff,</w:t>
      </w:r>
      <w:r w:rsidR="00F90E8C">
        <w:rPr>
          <w:lang w:val="en-ZA"/>
        </w:rPr>
        <w:t xml:space="preserve"> and should include </w:t>
      </w:r>
      <w:r>
        <w:rPr>
          <w:lang w:val="en-ZA"/>
        </w:rPr>
        <w:t xml:space="preserve">details pertaining to </w:t>
      </w:r>
      <w:r w:rsidR="00F90E8C">
        <w:rPr>
          <w:lang w:val="en-ZA"/>
        </w:rPr>
        <w:t xml:space="preserve">relevant </w:t>
      </w:r>
      <w:r w:rsidR="009D4075" w:rsidRPr="009D4075">
        <w:rPr>
          <w:lang w:val="en-ZA"/>
        </w:rPr>
        <w:t xml:space="preserve">qualifications, experience, and </w:t>
      </w:r>
      <w:r w:rsidR="00F90E8C">
        <w:rPr>
          <w:lang w:val="en-ZA"/>
        </w:rPr>
        <w:t xml:space="preserve">other considerations </w:t>
      </w:r>
      <w:r w:rsidR="009D4075" w:rsidRPr="009D4075">
        <w:rPr>
          <w:lang w:val="en-ZA"/>
        </w:rPr>
        <w:t>required for each level.</w:t>
      </w:r>
      <w:r w:rsidR="002326D6">
        <w:rPr>
          <w:lang w:val="en-ZA"/>
        </w:rPr>
        <w:t xml:space="preserve"> </w:t>
      </w:r>
    </w:p>
    <w:p w14:paraId="2B946705" w14:textId="77777777" w:rsidR="00DD6347" w:rsidRDefault="00DD6347" w:rsidP="00CA2738">
      <w:pPr>
        <w:rPr>
          <w:lang w:val="en-ZA"/>
        </w:rPr>
      </w:pPr>
    </w:p>
    <w:p w14:paraId="494F3D8F" w14:textId="6C0195AD" w:rsidR="00B57B91" w:rsidRDefault="009D4075" w:rsidP="00CA2738">
      <w:pPr>
        <w:rPr>
          <w:lang w:val="en-ZA"/>
        </w:rPr>
      </w:pPr>
      <w:r w:rsidRPr="009D4075">
        <w:rPr>
          <w:lang w:val="en-ZA"/>
        </w:rPr>
        <w:t xml:space="preserve">For academic staff, </w:t>
      </w:r>
      <w:r w:rsidR="00CF6205">
        <w:rPr>
          <w:lang w:val="en-ZA"/>
        </w:rPr>
        <w:t>promotion</w:t>
      </w:r>
      <w:r w:rsidRPr="009D4075">
        <w:rPr>
          <w:lang w:val="en-ZA"/>
        </w:rPr>
        <w:t xml:space="preserve"> criteria typically </w:t>
      </w:r>
      <w:r w:rsidR="00CF6205">
        <w:rPr>
          <w:lang w:val="en-ZA"/>
        </w:rPr>
        <w:t>include</w:t>
      </w:r>
      <w:r w:rsidRPr="009D4075">
        <w:rPr>
          <w:lang w:val="en-ZA"/>
        </w:rPr>
        <w:t xml:space="preserve"> </w:t>
      </w:r>
      <w:r w:rsidRPr="008D0EFF">
        <w:rPr>
          <w:b/>
          <w:bCs/>
          <w:lang w:val="en-ZA"/>
        </w:rPr>
        <w:t xml:space="preserve">excellence in teaching, research and </w:t>
      </w:r>
      <w:r w:rsidR="00CF6205" w:rsidRPr="008D0EFF">
        <w:rPr>
          <w:b/>
          <w:bCs/>
          <w:lang w:val="en-ZA"/>
        </w:rPr>
        <w:t>community engagement</w:t>
      </w:r>
      <w:r w:rsidR="0028723F">
        <w:rPr>
          <w:lang w:val="en-ZA"/>
        </w:rPr>
        <w:t xml:space="preserve">, while the criteria for </w:t>
      </w:r>
      <w:r w:rsidR="002518DD">
        <w:rPr>
          <w:lang w:val="en-ZA"/>
        </w:rPr>
        <w:t xml:space="preserve">administrative and </w:t>
      </w:r>
      <w:r w:rsidRPr="009D4075">
        <w:rPr>
          <w:lang w:val="en-ZA"/>
        </w:rPr>
        <w:t xml:space="preserve">professional </w:t>
      </w:r>
      <w:r w:rsidR="002518DD">
        <w:rPr>
          <w:lang w:val="en-ZA"/>
        </w:rPr>
        <w:t xml:space="preserve">non-academic staff </w:t>
      </w:r>
      <w:r w:rsidR="0028723F">
        <w:rPr>
          <w:lang w:val="en-ZA"/>
        </w:rPr>
        <w:t xml:space="preserve">might focus on </w:t>
      </w:r>
      <w:r w:rsidRPr="008D0EFF">
        <w:rPr>
          <w:b/>
          <w:bCs/>
          <w:lang w:val="en-ZA"/>
        </w:rPr>
        <w:t xml:space="preserve">demonstrated competence in their roles, leadership qualities, </w:t>
      </w:r>
      <w:r w:rsidRPr="008D0EFF">
        <w:rPr>
          <w:b/>
          <w:bCs/>
          <w:lang w:val="en-ZA"/>
        </w:rPr>
        <w:lastRenderedPageBreak/>
        <w:t>contributions to institutional effectiveness, and professional development</w:t>
      </w:r>
      <w:r w:rsidRPr="009D4075">
        <w:rPr>
          <w:lang w:val="en-ZA"/>
        </w:rPr>
        <w:t>.</w:t>
      </w:r>
      <w:r w:rsidR="0028723F">
        <w:rPr>
          <w:lang w:val="en-ZA"/>
        </w:rPr>
        <w:t xml:space="preserve"> P</w:t>
      </w:r>
      <w:r w:rsidRPr="009D4075">
        <w:rPr>
          <w:lang w:val="en-ZA"/>
        </w:rPr>
        <w:t>romotion process</w:t>
      </w:r>
      <w:r w:rsidR="0028723F">
        <w:rPr>
          <w:lang w:val="en-ZA"/>
        </w:rPr>
        <w:t>es</w:t>
      </w:r>
      <w:r w:rsidRPr="009D4075">
        <w:rPr>
          <w:lang w:val="en-ZA"/>
        </w:rPr>
        <w:t xml:space="preserve"> must be clearly outlined, ensuring transparency and consistency</w:t>
      </w:r>
      <w:r w:rsidR="002D51DD">
        <w:rPr>
          <w:lang w:val="en-ZA"/>
        </w:rPr>
        <w:t>, including t</w:t>
      </w:r>
      <w:r w:rsidR="002D51DD" w:rsidRPr="009D4075">
        <w:rPr>
          <w:lang w:val="en-ZA"/>
        </w:rPr>
        <w:t>he timeline for the promotion cycle</w:t>
      </w:r>
      <w:r w:rsidR="002D51DD">
        <w:rPr>
          <w:lang w:val="en-ZA"/>
        </w:rPr>
        <w:t xml:space="preserve">, </w:t>
      </w:r>
      <w:r w:rsidR="006A0ECE">
        <w:rPr>
          <w:lang w:val="en-ZA"/>
        </w:rPr>
        <w:t xml:space="preserve">submission requirements, </w:t>
      </w:r>
      <w:r w:rsidR="002D51DD" w:rsidRPr="009D4075">
        <w:rPr>
          <w:lang w:val="en-ZA"/>
        </w:rPr>
        <w:t>review bodies involved</w:t>
      </w:r>
      <w:r w:rsidR="00DE1678">
        <w:rPr>
          <w:lang w:val="en-ZA"/>
        </w:rPr>
        <w:t>, and expected avenues and forms of feedback</w:t>
      </w:r>
      <w:r w:rsidR="006A0ECE">
        <w:rPr>
          <w:lang w:val="en-ZA"/>
        </w:rPr>
        <w:t xml:space="preserve">. </w:t>
      </w:r>
    </w:p>
    <w:p w14:paraId="2F747037" w14:textId="07451B8F" w:rsidR="004B5F89" w:rsidRPr="00B57B91" w:rsidRDefault="00784468" w:rsidP="00604F37">
      <w:pPr>
        <w:pStyle w:val="Heading4"/>
        <w:rPr>
          <w:lang w:val="en-ZA"/>
        </w:rPr>
      </w:pPr>
      <w:r w:rsidRPr="00B57B91">
        <w:rPr>
          <w:lang w:val="en-ZA"/>
        </w:rPr>
        <w:t>Code of conduct</w:t>
      </w:r>
    </w:p>
    <w:p w14:paraId="18D4125A" w14:textId="77777777" w:rsidR="00FD22FC" w:rsidRDefault="00FD22FC" w:rsidP="00CA2738"/>
    <w:p w14:paraId="381A5A95" w14:textId="35C3ED80" w:rsidR="00401741" w:rsidRDefault="008D0550" w:rsidP="00CA2738">
      <w:r>
        <w:t xml:space="preserve">This section </w:t>
      </w:r>
      <w:r w:rsidR="002518DD">
        <w:t xml:space="preserve">of the </w:t>
      </w:r>
      <w:proofErr w:type="spellStart"/>
      <w:r w:rsidR="002518DD">
        <w:t>C</w:t>
      </w:r>
      <w:r w:rsidR="003043FE">
        <w:t>o</w:t>
      </w:r>
      <w:r w:rsidR="002518DD">
        <w:t>S</w:t>
      </w:r>
      <w:proofErr w:type="spellEnd"/>
      <w:r w:rsidR="002518DD">
        <w:t xml:space="preserve"> document </w:t>
      </w:r>
      <w:r>
        <w:t xml:space="preserve">should </w:t>
      </w:r>
      <w:proofErr w:type="gramStart"/>
      <w:r w:rsidR="00736B01">
        <w:t>make reference</w:t>
      </w:r>
      <w:proofErr w:type="gramEnd"/>
      <w:r w:rsidR="00736B01">
        <w:t xml:space="preserve"> to the institution’s </w:t>
      </w:r>
      <w:r w:rsidR="00736B01" w:rsidRPr="008D0EFF">
        <w:rPr>
          <w:b/>
          <w:bCs/>
        </w:rPr>
        <w:t>Code of Conduct</w:t>
      </w:r>
      <w:r w:rsidR="00736B01">
        <w:t xml:space="preserve"> document (</w:t>
      </w:r>
      <w:r w:rsidR="00736B01" w:rsidRPr="008F58BA">
        <w:rPr>
          <w:b/>
          <w:bCs/>
          <w:color w:val="000000" w:themeColor="text1"/>
        </w:rPr>
        <w:t xml:space="preserve">see Appendix </w:t>
      </w:r>
      <w:r w:rsidR="008F58BA">
        <w:rPr>
          <w:b/>
          <w:bCs/>
          <w:color w:val="000000" w:themeColor="text1"/>
        </w:rPr>
        <w:t>H</w:t>
      </w:r>
      <w:r w:rsidR="00736B01" w:rsidRPr="008F58BA">
        <w:rPr>
          <w:b/>
          <w:bCs/>
          <w:color w:val="000000" w:themeColor="text1"/>
        </w:rPr>
        <w:t xml:space="preserve"> for a template</w:t>
      </w:r>
      <w:r w:rsidR="00736B01">
        <w:t xml:space="preserve">) and </w:t>
      </w:r>
      <w:r w:rsidR="00E971E2">
        <w:t xml:space="preserve">provide an overview of the desired </w:t>
      </w:r>
      <w:r w:rsidR="002518DD">
        <w:t>(</w:t>
      </w:r>
      <w:r w:rsidR="00E971E2">
        <w:t>and prohibited</w:t>
      </w:r>
      <w:r w:rsidR="002518DD">
        <w:t>)</w:t>
      </w:r>
      <w:r w:rsidR="00E971E2">
        <w:t xml:space="preserve"> behaviours expected of staff and students. </w:t>
      </w:r>
      <w:r w:rsidR="00A075EA">
        <w:t xml:space="preserve">These behaviours are based on the </w:t>
      </w:r>
      <w:r w:rsidR="00A075EA" w:rsidRPr="00704953">
        <w:rPr>
          <w:b/>
          <w:bCs/>
        </w:rPr>
        <w:t>institution’s values and principles</w:t>
      </w:r>
      <w:r w:rsidR="00A075EA">
        <w:t xml:space="preserve"> and should include </w:t>
      </w:r>
      <w:r w:rsidR="00BE756F">
        <w:t xml:space="preserve">statements on </w:t>
      </w:r>
      <w:r w:rsidR="00B57B91" w:rsidRPr="00DE1678">
        <w:t xml:space="preserve">harassment, bullying, </w:t>
      </w:r>
      <w:r w:rsidR="00BE756F">
        <w:t>inappropriate relationships,</w:t>
      </w:r>
      <w:r w:rsidR="007B33C6">
        <w:t xml:space="preserve"> </w:t>
      </w:r>
      <w:r w:rsidR="00BE756F">
        <w:t>ethical conduct</w:t>
      </w:r>
      <w:r w:rsidR="007B33C6">
        <w:t>,</w:t>
      </w:r>
      <w:r w:rsidR="00840878">
        <w:t xml:space="preserve"> and</w:t>
      </w:r>
      <w:r w:rsidR="007B33C6">
        <w:t xml:space="preserve"> </w:t>
      </w:r>
      <w:r w:rsidR="00840878">
        <w:t xml:space="preserve">conflict management, </w:t>
      </w:r>
      <w:r w:rsidR="007B33C6">
        <w:t xml:space="preserve">among others. </w:t>
      </w:r>
      <w:r w:rsidR="009A3153">
        <w:t>This section could also summarise the</w:t>
      </w:r>
      <w:r w:rsidR="0054237F">
        <w:t xml:space="preserve"> </w:t>
      </w:r>
      <w:r w:rsidR="001F17AE" w:rsidRPr="00871ED6">
        <w:rPr>
          <w:b/>
          <w:bCs/>
        </w:rPr>
        <w:t xml:space="preserve">disciplinary </w:t>
      </w:r>
      <w:r w:rsidR="0054237F" w:rsidRPr="00871ED6">
        <w:rPr>
          <w:b/>
          <w:bCs/>
        </w:rPr>
        <w:t>consequences</w:t>
      </w:r>
      <w:r w:rsidR="002518DD" w:rsidRPr="006217B5">
        <w:t xml:space="preserve"> of contravening the </w:t>
      </w:r>
      <w:r w:rsidR="002518DD">
        <w:t>c</w:t>
      </w:r>
      <w:r w:rsidR="002518DD" w:rsidRPr="006217B5">
        <w:t xml:space="preserve">ode of </w:t>
      </w:r>
      <w:r w:rsidR="002518DD">
        <w:t>c</w:t>
      </w:r>
      <w:r w:rsidR="002518DD" w:rsidRPr="006217B5">
        <w:t>onduct</w:t>
      </w:r>
      <w:r w:rsidR="0054237F">
        <w:t xml:space="preserve">, including the processes relating to appeals, reviews, and </w:t>
      </w:r>
      <w:r w:rsidR="00D53929">
        <w:t>disciplinary actions that may result from inappropriate, unethical, or illegal behaviours</w:t>
      </w:r>
      <w:r w:rsidR="00840878">
        <w:t xml:space="preserve">. It should further </w:t>
      </w:r>
      <w:r w:rsidR="002518DD">
        <w:t xml:space="preserve">make mention of </w:t>
      </w:r>
      <w:r w:rsidR="001F17AE">
        <w:t xml:space="preserve">the </w:t>
      </w:r>
      <w:r w:rsidR="001F17AE" w:rsidRPr="00987C84">
        <w:rPr>
          <w:b/>
          <w:bCs/>
        </w:rPr>
        <w:t xml:space="preserve">processes to </w:t>
      </w:r>
      <w:r w:rsidR="00840878" w:rsidRPr="00987C84">
        <w:rPr>
          <w:b/>
          <w:bCs/>
        </w:rPr>
        <w:t>protect whistleblowers</w:t>
      </w:r>
      <w:r w:rsidR="00840878">
        <w:t xml:space="preserve">, </w:t>
      </w:r>
      <w:r w:rsidR="002518DD">
        <w:t>as well as the processes</w:t>
      </w:r>
      <w:r w:rsidR="00F553DF">
        <w:t xml:space="preserve"> to </w:t>
      </w:r>
      <w:r w:rsidR="001F17AE">
        <w:t xml:space="preserve">follow when staff wish to </w:t>
      </w:r>
      <w:r w:rsidR="00DB5E35">
        <w:t>submit a grievance</w:t>
      </w:r>
      <w:r w:rsidR="00D53929">
        <w:t xml:space="preserve">. </w:t>
      </w:r>
    </w:p>
    <w:p w14:paraId="22BF9178" w14:textId="77777777" w:rsidR="0059588B" w:rsidRDefault="0059588B" w:rsidP="00CA2738">
      <w:pPr>
        <w:rPr>
          <w:lang w:val="en-ZA"/>
        </w:rPr>
      </w:pPr>
    </w:p>
    <w:p w14:paraId="42CD0A6D" w14:textId="7963912B" w:rsidR="00B57B91" w:rsidRDefault="00486418" w:rsidP="00CA2738">
      <w:pPr>
        <w:rPr>
          <w:lang w:val="en-ZA"/>
        </w:rPr>
      </w:pPr>
      <w:r>
        <w:rPr>
          <w:lang w:val="en-ZA"/>
        </w:rPr>
        <w:t>T</w:t>
      </w:r>
      <w:r w:rsidR="002421F1">
        <w:rPr>
          <w:lang w:val="en-ZA"/>
        </w:rPr>
        <w:t xml:space="preserve">he code of conduct should </w:t>
      </w:r>
      <w:r>
        <w:rPr>
          <w:lang w:val="en-ZA"/>
        </w:rPr>
        <w:t xml:space="preserve">also include </w:t>
      </w:r>
      <w:r w:rsidR="002421F1">
        <w:rPr>
          <w:lang w:val="en-ZA"/>
        </w:rPr>
        <w:t>section</w:t>
      </w:r>
      <w:r w:rsidR="00C57E47">
        <w:rPr>
          <w:lang w:val="en-ZA"/>
        </w:rPr>
        <w:t>s</w:t>
      </w:r>
      <w:r w:rsidR="002421F1">
        <w:rPr>
          <w:lang w:val="en-ZA"/>
        </w:rPr>
        <w:t xml:space="preserve"> dedicated to </w:t>
      </w:r>
      <w:r w:rsidR="002421F1" w:rsidRPr="00871ED6">
        <w:rPr>
          <w:b/>
          <w:bCs/>
          <w:lang w:val="en-ZA"/>
        </w:rPr>
        <w:t>responsible use of university property</w:t>
      </w:r>
      <w:r w:rsidR="00C57E47" w:rsidRPr="00871ED6">
        <w:rPr>
          <w:b/>
          <w:bCs/>
          <w:lang w:val="en-ZA"/>
        </w:rPr>
        <w:t xml:space="preserve"> and the responsibilities of all parties to create a safe working environment</w:t>
      </w:r>
      <w:r w:rsidR="002421F1">
        <w:rPr>
          <w:lang w:val="en-ZA"/>
        </w:rPr>
        <w:t>.</w:t>
      </w:r>
      <w:r w:rsidR="006269BD">
        <w:rPr>
          <w:lang w:val="en-ZA"/>
        </w:rPr>
        <w:t xml:space="preserve"> </w:t>
      </w:r>
      <w:r w:rsidR="00487387">
        <w:rPr>
          <w:lang w:val="en-ZA"/>
        </w:rPr>
        <w:t>University property might include physical grounds, buildings</w:t>
      </w:r>
      <w:r w:rsidR="00C04E29">
        <w:rPr>
          <w:lang w:val="en-ZA"/>
        </w:rPr>
        <w:t xml:space="preserve"> (</w:t>
      </w:r>
      <w:r w:rsidR="00274526">
        <w:rPr>
          <w:lang w:val="en-ZA"/>
        </w:rPr>
        <w:t>office buildings, lecture rooms, laboratories, etc.)</w:t>
      </w:r>
      <w:r w:rsidR="00487387">
        <w:rPr>
          <w:lang w:val="en-ZA"/>
        </w:rPr>
        <w:t xml:space="preserve">, </w:t>
      </w:r>
      <w:r w:rsidR="00495A25">
        <w:rPr>
          <w:lang w:val="en-ZA"/>
        </w:rPr>
        <w:t>infrastructure</w:t>
      </w:r>
      <w:r w:rsidR="008811F8">
        <w:rPr>
          <w:lang w:val="en-ZA"/>
        </w:rPr>
        <w:t xml:space="preserve"> (physical and technological, etc.)</w:t>
      </w:r>
      <w:r w:rsidR="00495A25">
        <w:rPr>
          <w:lang w:val="en-ZA"/>
        </w:rPr>
        <w:t xml:space="preserve">, physical resources (desks, chairs, etc.), </w:t>
      </w:r>
      <w:r w:rsidR="008811F8">
        <w:rPr>
          <w:lang w:val="en-ZA"/>
        </w:rPr>
        <w:t xml:space="preserve">technology (hardware, software, etc.), </w:t>
      </w:r>
      <w:r w:rsidR="00617947">
        <w:rPr>
          <w:lang w:val="en-ZA"/>
        </w:rPr>
        <w:t xml:space="preserve">official vehicles, </w:t>
      </w:r>
      <w:r w:rsidR="008811F8">
        <w:rPr>
          <w:lang w:val="en-ZA"/>
        </w:rPr>
        <w:t xml:space="preserve">or any other </w:t>
      </w:r>
      <w:r w:rsidR="009D4C1E">
        <w:rPr>
          <w:lang w:val="en-ZA"/>
        </w:rPr>
        <w:t xml:space="preserve">property owned by the institution and used by employees in their daily work. </w:t>
      </w:r>
      <w:r w:rsidR="00C57E47">
        <w:rPr>
          <w:lang w:val="en-ZA"/>
        </w:rPr>
        <w:t>S</w:t>
      </w:r>
      <w:r w:rsidR="00D65ABE">
        <w:rPr>
          <w:lang w:val="en-ZA"/>
        </w:rPr>
        <w:t>tatements on personal</w:t>
      </w:r>
      <w:r w:rsidR="00031EDD">
        <w:rPr>
          <w:lang w:val="en-ZA"/>
        </w:rPr>
        <w:t>/private</w:t>
      </w:r>
      <w:r w:rsidR="00D65ABE">
        <w:rPr>
          <w:lang w:val="en-ZA"/>
        </w:rPr>
        <w:t xml:space="preserve"> use of </w:t>
      </w:r>
      <w:r w:rsidR="00031EDD">
        <w:rPr>
          <w:lang w:val="en-ZA"/>
        </w:rPr>
        <w:t xml:space="preserve">university property, </w:t>
      </w:r>
      <w:r w:rsidR="00037DD7">
        <w:rPr>
          <w:lang w:val="en-ZA"/>
        </w:rPr>
        <w:t>keeping property safe</w:t>
      </w:r>
      <w:r w:rsidR="00043CD5">
        <w:rPr>
          <w:lang w:val="en-ZA"/>
        </w:rPr>
        <w:t xml:space="preserve">, </w:t>
      </w:r>
      <w:r w:rsidR="00031EDD">
        <w:rPr>
          <w:lang w:val="en-ZA"/>
        </w:rPr>
        <w:t>removal of property, and t</w:t>
      </w:r>
      <w:r w:rsidR="00C04E29">
        <w:rPr>
          <w:lang w:val="en-ZA"/>
        </w:rPr>
        <w:t>he consequences of m</w:t>
      </w:r>
      <w:r w:rsidR="00F23456" w:rsidRPr="00F23456">
        <w:rPr>
          <w:lang w:val="en-ZA"/>
        </w:rPr>
        <w:t>isuse, abuse, or unauthori</w:t>
      </w:r>
      <w:r w:rsidR="00482B5E">
        <w:rPr>
          <w:lang w:val="en-ZA"/>
        </w:rPr>
        <w:t>s</w:t>
      </w:r>
      <w:r w:rsidR="00F23456" w:rsidRPr="00F23456">
        <w:rPr>
          <w:lang w:val="en-ZA"/>
        </w:rPr>
        <w:t xml:space="preserve">ed </w:t>
      </w:r>
      <w:r w:rsidR="00C04E29">
        <w:rPr>
          <w:lang w:val="en-ZA"/>
        </w:rPr>
        <w:t xml:space="preserve">use </w:t>
      </w:r>
      <w:r w:rsidR="00F23456" w:rsidRPr="00F23456">
        <w:rPr>
          <w:lang w:val="en-ZA"/>
        </w:rPr>
        <w:t>of university property</w:t>
      </w:r>
      <w:r w:rsidR="00C57E47">
        <w:rPr>
          <w:lang w:val="en-ZA"/>
        </w:rPr>
        <w:t xml:space="preserve">, should </w:t>
      </w:r>
      <w:r>
        <w:rPr>
          <w:lang w:val="en-ZA"/>
        </w:rPr>
        <w:t xml:space="preserve">also </w:t>
      </w:r>
      <w:r w:rsidR="00C57E47">
        <w:rPr>
          <w:lang w:val="en-ZA"/>
        </w:rPr>
        <w:t>be included</w:t>
      </w:r>
      <w:r w:rsidR="00C04E29">
        <w:rPr>
          <w:lang w:val="en-ZA"/>
        </w:rPr>
        <w:t xml:space="preserve">. </w:t>
      </w:r>
    </w:p>
    <w:p w14:paraId="69882397" w14:textId="77777777" w:rsidR="00B70263" w:rsidRDefault="00B70263" w:rsidP="00CA2738">
      <w:pPr>
        <w:rPr>
          <w:lang w:val="en-ZA"/>
        </w:rPr>
      </w:pPr>
    </w:p>
    <w:p w14:paraId="347C3CC3" w14:textId="77777777" w:rsidR="00B70263" w:rsidRDefault="00B70263" w:rsidP="00B70263">
      <w:pPr>
        <w:rPr>
          <w:lang w:val="en-ZA"/>
        </w:rPr>
      </w:pPr>
      <w:r w:rsidRPr="00B70263">
        <w:rPr>
          <w:b/>
          <w:bCs/>
          <w:lang w:val="en-ZA"/>
        </w:rPr>
        <w:t>Occupational health and safety regulations</w:t>
      </w:r>
      <w:r>
        <w:rPr>
          <w:lang w:val="en-ZA"/>
        </w:rPr>
        <w:t xml:space="preserve"> are often subject to legislation that requires employers to adhere to practices that ensure the safety of employees. This section should summarise key messages on health and safety, with reference to legislation, and outline the roles and responsibilities of the institution and employees (and students) to keep the work environment safe for all. </w:t>
      </w:r>
    </w:p>
    <w:p w14:paraId="1D33DFA8" w14:textId="77777777" w:rsidR="00B70263" w:rsidRDefault="00B70263" w:rsidP="00B70263">
      <w:pPr>
        <w:rPr>
          <w:lang w:val="en-ZA"/>
        </w:rPr>
      </w:pPr>
    </w:p>
    <w:p w14:paraId="6A17E933" w14:textId="1A91DCBA" w:rsidR="00B70263" w:rsidRDefault="00B70263" w:rsidP="00B70263">
      <w:pPr>
        <w:rPr>
          <w:lang w:val="en-ZA"/>
        </w:rPr>
      </w:pPr>
      <w:r>
        <w:rPr>
          <w:lang w:val="en-ZA"/>
        </w:rPr>
        <w:t xml:space="preserve">All staff members and students </w:t>
      </w:r>
      <w:r w:rsidRPr="00BF0552">
        <w:rPr>
          <w:lang w:val="en-ZA"/>
        </w:rPr>
        <w:t xml:space="preserve">are expected to be aware of potential hazards in their work or study environment, to follow established safety procedures, and to use any provided safety equipment or personal protective equipment (PPE) correctly. This includes </w:t>
      </w:r>
      <w:r w:rsidR="00486418">
        <w:rPr>
          <w:lang w:val="en-ZA"/>
        </w:rPr>
        <w:t xml:space="preserve">prompt </w:t>
      </w:r>
      <w:r w:rsidRPr="00BF0552">
        <w:rPr>
          <w:lang w:val="en-ZA"/>
        </w:rPr>
        <w:t xml:space="preserve">reporting </w:t>
      </w:r>
      <w:r w:rsidR="00486418">
        <w:rPr>
          <w:lang w:val="en-ZA"/>
        </w:rPr>
        <w:t xml:space="preserve">of </w:t>
      </w:r>
      <w:r w:rsidRPr="00BF0552">
        <w:rPr>
          <w:lang w:val="en-ZA"/>
        </w:rPr>
        <w:t>any unsafe conditions, accidents, or injuries, and taking reasonable steps to prevent harm to themselves and others. Specific guidelines may address issues such as laboratory safety, fire safety, safe use of equipment, and emergency procedures.</w:t>
      </w:r>
    </w:p>
    <w:p w14:paraId="325A3A12" w14:textId="77777777" w:rsidR="00B70263" w:rsidRPr="00BF0552" w:rsidRDefault="00B70263" w:rsidP="00B70263">
      <w:pPr>
        <w:rPr>
          <w:lang w:val="en-ZA"/>
        </w:rPr>
      </w:pPr>
    </w:p>
    <w:p w14:paraId="4A7297A2" w14:textId="77777777" w:rsidR="00B70263" w:rsidRPr="00C15D48" w:rsidRDefault="00B70263" w:rsidP="00B70263">
      <w:pPr>
        <w:rPr>
          <w:b/>
          <w:bCs/>
          <w:color w:val="000000" w:themeColor="text1"/>
          <w:lang w:val="en-ZA"/>
        </w:rPr>
      </w:pPr>
      <w:r w:rsidRPr="00BF0552">
        <w:rPr>
          <w:lang w:val="en-ZA"/>
        </w:rPr>
        <w:t xml:space="preserve">Furthermore, the university may </w:t>
      </w:r>
      <w:r>
        <w:rPr>
          <w:lang w:val="en-ZA"/>
        </w:rPr>
        <w:t>call on volunteers to be departmental or unit health and safety officers that oversee health and safety compliance on the ground</w:t>
      </w:r>
      <w:r w:rsidRPr="00BF0552">
        <w:rPr>
          <w:lang w:val="en-ZA"/>
        </w:rPr>
        <w:t xml:space="preserve">. Compliance with </w:t>
      </w:r>
      <w:r>
        <w:rPr>
          <w:lang w:val="en-ZA"/>
        </w:rPr>
        <w:t>such</w:t>
      </w:r>
      <w:r w:rsidRPr="00BF0552">
        <w:rPr>
          <w:lang w:val="en-ZA"/>
        </w:rPr>
        <w:t xml:space="preserve"> regulations is not only a legal obligation but also an ethical one, and violations of safety protocols may result in disciplinary action.</w:t>
      </w:r>
      <w:r>
        <w:rPr>
          <w:lang w:val="en-ZA"/>
        </w:rPr>
        <w:t xml:space="preserve"> </w:t>
      </w:r>
    </w:p>
    <w:p w14:paraId="57ACC47C" w14:textId="77777777" w:rsidR="00781A3E" w:rsidRPr="00B57B91" w:rsidRDefault="00781A3E" w:rsidP="00CA2738">
      <w:pPr>
        <w:rPr>
          <w:lang w:val="en-ZA"/>
        </w:rPr>
      </w:pPr>
    </w:p>
    <w:p w14:paraId="0DB6EC21" w14:textId="60B12649" w:rsidR="00597242" w:rsidRDefault="00604F37" w:rsidP="00D80C1E">
      <w:pPr>
        <w:pStyle w:val="Heading4"/>
        <w:spacing w:before="0" w:after="0"/>
        <w:ind w:left="0" w:firstLine="0"/>
        <w:rPr>
          <w:lang w:val="en-ZA"/>
        </w:rPr>
      </w:pPr>
      <w:r>
        <w:rPr>
          <w:lang w:val="en-ZA"/>
        </w:rPr>
        <w:t>Conditions for t</w:t>
      </w:r>
      <w:r w:rsidR="00916B43" w:rsidRPr="00597242">
        <w:rPr>
          <w:lang w:val="en-ZA"/>
        </w:rPr>
        <w:t xml:space="preserve">ermination </w:t>
      </w:r>
      <w:r>
        <w:rPr>
          <w:lang w:val="en-ZA"/>
        </w:rPr>
        <w:t>of employment</w:t>
      </w:r>
    </w:p>
    <w:p w14:paraId="53B6E4D6" w14:textId="77777777" w:rsidR="00FD22FC" w:rsidRDefault="00FD22FC" w:rsidP="00CA2738">
      <w:pPr>
        <w:rPr>
          <w:lang w:val="en-ZA"/>
        </w:rPr>
      </w:pPr>
    </w:p>
    <w:p w14:paraId="05CD0011" w14:textId="14028EBA" w:rsidR="00FD22FC" w:rsidRDefault="00246CAC" w:rsidP="00CA2738">
      <w:pPr>
        <w:rPr>
          <w:lang w:val="en-ZA"/>
        </w:rPr>
      </w:pPr>
      <w:r>
        <w:rPr>
          <w:lang w:val="en-ZA"/>
        </w:rPr>
        <w:t xml:space="preserve">Employees need to understand the </w:t>
      </w:r>
      <w:r w:rsidRPr="00871ED6">
        <w:rPr>
          <w:b/>
          <w:bCs/>
          <w:lang w:val="en-ZA"/>
        </w:rPr>
        <w:t>differen</w:t>
      </w:r>
      <w:r w:rsidR="00933FF3" w:rsidRPr="00871ED6">
        <w:rPr>
          <w:b/>
          <w:bCs/>
          <w:lang w:val="en-ZA"/>
        </w:rPr>
        <w:t xml:space="preserve">t types of </w:t>
      </w:r>
      <w:r w:rsidR="00A40CB6" w:rsidRPr="00871ED6">
        <w:rPr>
          <w:b/>
          <w:bCs/>
          <w:lang w:val="en-ZA"/>
        </w:rPr>
        <w:t>termination of contract</w:t>
      </w:r>
      <w:r w:rsidR="00A40CB6">
        <w:rPr>
          <w:lang w:val="en-ZA"/>
        </w:rPr>
        <w:t xml:space="preserve"> </w:t>
      </w:r>
      <w:r w:rsidR="00993D83">
        <w:rPr>
          <w:lang w:val="en-ZA"/>
        </w:rPr>
        <w:t>– typically</w:t>
      </w:r>
      <w:r w:rsidR="002326D6">
        <w:rPr>
          <w:lang w:val="en-ZA"/>
        </w:rPr>
        <w:t xml:space="preserve"> </w:t>
      </w:r>
      <w:r w:rsidR="00213165">
        <w:rPr>
          <w:lang w:val="en-ZA"/>
        </w:rPr>
        <w:t xml:space="preserve">voluntary/involuntary </w:t>
      </w:r>
      <w:r w:rsidR="00A40CB6">
        <w:rPr>
          <w:lang w:val="en-ZA"/>
        </w:rPr>
        <w:t>resignation, retirement, dismissal</w:t>
      </w:r>
      <w:r w:rsidR="00993D83">
        <w:rPr>
          <w:lang w:val="en-ZA"/>
        </w:rPr>
        <w:t>, contract expiration, job abandonment, or death</w:t>
      </w:r>
      <w:r w:rsidR="006E5B73">
        <w:rPr>
          <w:lang w:val="en-ZA"/>
        </w:rPr>
        <w:t xml:space="preserve">. This section should describe each form of termination, along with </w:t>
      </w:r>
      <w:r w:rsidR="00626315">
        <w:rPr>
          <w:lang w:val="en-ZA"/>
        </w:rPr>
        <w:t xml:space="preserve">due processes that precede or </w:t>
      </w:r>
      <w:r w:rsidR="00727520">
        <w:rPr>
          <w:lang w:val="en-ZA"/>
        </w:rPr>
        <w:t xml:space="preserve">follow each action. For example, </w:t>
      </w:r>
      <w:r w:rsidR="00610B4F">
        <w:rPr>
          <w:lang w:val="en-ZA"/>
        </w:rPr>
        <w:t xml:space="preserve">if a staff member wishes to resign, they need to </w:t>
      </w:r>
      <w:r w:rsidR="00610B4F">
        <w:rPr>
          <w:lang w:val="en-ZA"/>
        </w:rPr>
        <w:lastRenderedPageBreak/>
        <w:t xml:space="preserve">provide </w:t>
      </w:r>
      <w:r w:rsidR="003C638D">
        <w:rPr>
          <w:lang w:val="en-ZA"/>
        </w:rPr>
        <w:t xml:space="preserve">notice in accordance with labour laws and </w:t>
      </w:r>
      <w:r w:rsidR="00486418">
        <w:rPr>
          <w:lang w:val="en-ZA"/>
        </w:rPr>
        <w:t xml:space="preserve">they would need to adhere to stipulated rules </w:t>
      </w:r>
      <w:r w:rsidR="00BF2DF5">
        <w:rPr>
          <w:lang w:val="en-ZA"/>
        </w:rPr>
        <w:t xml:space="preserve">around notice periods </w:t>
      </w:r>
      <w:r w:rsidR="00486418">
        <w:rPr>
          <w:lang w:val="en-ZA"/>
        </w:rPr>
        <w:t>(e.g., notice of resignation must be tendered no less than thirty [30] days before vacating the position)</w:t>
      </w:r>
      <w:r w:rsidR="003C638D">
        <w:rPr>
          <w:lang w:val="en-ZA"/>
        </w:rPr>
        <w:t xml:space="preserve">. </w:t>
      </w:r>
      <w:r w:rsidR="00423CB8">
        <w:rPr>
          <w:lang w:val="en-ZA"/>
        </w:rPr>
        <w:t xml:space="preserve">They would need to submit </w:t>
      </w:r>
      <w:r w:rsidR="00BF2DF5">
        <w:rPr>
          <w:lang w:val="en-ZA"/>
        </w:rPr>
        <w:t xml:space="preserve">their </w:t>
      </w:r>
      <w:r w:rsidR="00423CB8">
        <w:rPr>
          <w:lang w:val="en-ZA"/>
        </w:rPr>
        <w:t>resignation in written form to both the HR division and their direct manager/supervisor.</w:t>
      </w:r>
      <w:r w:rsidR="00213165">
        <w:rPr>
          <w:lang w:val="en-ZA"/>
        </w:rPr>
        <w:t xml:space="preserve"> They would also need to be informed about </w:t>
      </w:r>
      <w:r w:rsidR="00A138C3">
        <w:rPr>
          <w:lang w:val="en-ZA"/>
        </w:rPr>
        <w:t xml:space="preserve">taking leave during notice periods, and </w:t>
      </w:r>
      <w:r w:rsidR="00BF2DF5">
        <w:rPr>
          <w:lang w:val="en-ZA"/>
        </w:rPr>
        <w:t xml:space="preserve">about </w:t>
      </w:r>
      <w:r w:rsidR="00A138C3">
        <w:rPr>
          <w:lang w:val="en-ZA"/>
        </w:rPr>
        <w:t xml:space="preserve">how </w:t>
      </w:r>
      <w:r w:rsidR="00292D5D">
        <w:rPr>
          <w:lang w:val="en-ZA"/>
        </w:rPr>
        <w:t xml:space="preserve">salaries, rewards and benefits </w:t>
      </w:r>
      <w:r w:rsidR="00BF2DF5">
        <w:rPr>
          <w:lang w:val="en-ZA"/>
        </w:rPr>
        <w:t>are configured upon resignation</w:t>
      </w:r>
      <w:r w:rsidR="00CF422C">
        <w:rPr>
          <w:lang w:val="en-ZA"/>
        </w:rPr>
        <w:t>.</w:t>
      </w:r>
      <w:r w:rsidR="002326D6">
        <w:rPr>
          <w:lang w:val="en-ZA"/>
        </w:rPr>
        <w:t xml:space="preserve"> </w:t>
      </w:r>
    </w:p>
    <w:p w14:paraId="60768B76" w14:textId="77777777" w:rsidR="00597242" w:rsidRDefault="00916B43" w:rsidP="002326D6">
      <w:pPr>
        <w:pStyle w:val="Heading4"/>
        <w:rPr>
          <w:lang w:val="en-ZA"/>
        </w:rPr>
      </w:pPr>
      <w:r w:rsidRPr="00597242">
        <w:rPr>
          <w:lang w:val="en-ZA"/>
        </w:rPr>
        <w:t>Accessibility provisions</w:t>
      </w:r>
    </w:p>
    <w:p w14:paraId="50788E80" w14:textId="0C135C69" w:rsidR="00B41DD2" w:rsidRDefault="00315678" w:rsidP="00CA2738">
      <w:pPr>
        <w:rPr>
          <w:lang w:val="en-ZA"/>
        </w:rPr>
      </w:pPr>
      <w:r>
        <w:rPr>
          <w:lang w:val="en-ZA"/>
        </w:rPr>
        <w:t xml:space="preserve">As part of the </w:t>
      </w:r>
      <w:proofErr w:type="spellStart"/>
      <w:r>
        <w:rPr>
          <w:lang w:val="en-ZA"/>
        </w:rPr>
        <w:t>CoS</w:t>
      </w:r>
      <w:proofErr w:type="spellEnd"/>
      <w:r>
        <w:rPr>
          <w:lang w:val="en-ZA"/>
        </w:rPr>
        <w:t xml:space="preserve">, the institution should </w:t>
      </w:r>
      <w:r w:rsidRPr="007646B9">
        <w:rPr>
          <w:b/>
          <w:bCs/>
          <w:lang w:val="en-ZA"/>
        </w:rPr>
        <w:t xml:space="preserve">declare its commitment to </w:t>
      </w:r>
      <w:r w:rsidR="008224A0" w:rsidRPr="007646B9">
        <w:rPr>
          <w:b/>
          <w:bCs/>
          <w:lang w:val="en-ZA"/>
        </w:rPr>
        <w:t xml:space="preserve">creating an inclusive </w:t>
      </w:r>
      <w:proofErr w:type="gramStart"/>
      <w:r w:rsidR="008224A0" w:rsidRPr="007646B9">
        <w:rPr>
          <w:b/>
          <w:bCs/>
          <w:lang w:val="en-ZA"/>
        </w:rPr>
        <w:t>environment</w:t>
      </w:r>
      <w:r>
        <w:rPr>
          <w:lang w:val="en-ZA"/>
        </w:rPr>
        <w:t>, and</w:t>
      </w:r>
      <w:proofErr w:type="gramEnd"/>
      <w:r w:rsidR="004F5B78">
        <w:rPr>
          <w:lang w:val="en-ZA"/>
        </w:rPr>
        <w:t xml:space="preserve"> note the efforts that ensure </w:t>
      </w:r>
      <w:r w:rsidR="008224A0" w:rsidRPr="008224A0">
        <w:rPr>
          <w:lang w:val="en-ZA"/>
        </w:rPr>
        <w:t xml:space="preserve">equal access and opportunities to all </w:t>
      </w:r>
      <w:r w:rsidR="004F5B78">
        <w:rPr>
          <w:lang w:val="en-ZA"/>
        </w:rPr>
        <w:t xml:space="preserve">staff </w:t>
      </w:r>
      <w:r w:rsidR="008224A0" w:rsidRPr="008224A0">
        <w:rPr>
          <w:lang w:val="en-ZA"/>
        </w:rPr>
        <w:t xml:space="preserve">members </w:t>
      </w:r>
      <w:r w:rsidR="004F5B78">
        <w:rPr>
          <w:lang w:val="en-ZA"/>
        </w:rPr>
        <w:t xml:space="preserve">and students. </w:t>
      </w:r>
      <w:r w:rsidR="00B41DD2">
        <w:rPr>
          <w:lang w:val="en-ZA"/>
        </w:rPr>
        <w:t>An example of such a statement might</w:t>
      </w:r>
      <w:r w:rsidR="005A10F1">
        <w:rPr>
          <w:lang w:val="en-ZA"/>
        </w:rPr>
        <w:t xml:space="preserve"> be</w:t>
      </w:r>
      <w:r w:rsidR="00B41DD2">
        <w:rPr>
          <w:lang w:val="en-ZA"/>
        </w:rPr>
        <w:t>:</w:t>
      </w:r>
    </w:p>
    <w:p w14:paraId="7B6CA516" w14:textId="77777777" w:rsidR="00B41DD2" w:rsidRDefault="00B41DD2" w:rsidP="00CA2738">
      <w:pPr>
        <w:rPr>
          <w:lang w:val="en-ZA"/>
        </w:rPr>
      </w:pPr>
    </w:p>
    <w:p w14:paraId="58C0A741" w14:textId="49A0DD2E" w:rsidR="00A06F97" w:rsidRPr="00A06F97" w:rsidRDefault="005A10F1" w:rsidP="00CA2738">
      <w:pPr>
        <w:rPr>
          <w:lang w:val="en-ZA"/>
        </w:rPr>
      </w:pPr>
      <w:r>
        <w:rPr>
          <w:lang w:val="en-ZA"/>
        </w:rPr>
        <w:t>“</w:t>
      </w:r>
      <w:r w:rsidR="00A06F97" w:rsidRPr="00A06F97">
        <w:rPr>
          <w:lang w:val="en-ZA"/>
        </w:rPr>
        <w:t>The university is committed to fostering an inclusive and accessible environment for all members of its community. We recogni</w:t>
      </w:r>
      <w:r w:rsidR="00482B5E">
        <w:rPr>
          <w:lang w:val="en-ZA"/>
        </w:rPr>
        <w:t>s</w:t>
      </w:r>
      <w:r w:rsidR="00A06F97" w:rsidRPr="00A06F97">
        <w:rPr>
          <w:lang w:val="en-ZA"/>
        </w:rPr>
        <w:t>e the diverse needs of individuals and strive to eliminate barriers that may hinder full participation in academic, social, and professional activities.</w:t>
      </w:r>
      <w:r w:rsidR="00C568F2">
        <w:rPr>
          <w:lang w:val="en-ZA"/>
        </w:rPr>
        <w:t xml:space="preserve"> </w:t>
      </w:r>
      <w:r w:rsidR="00A06F97" w:rsidRPr="00A06F97">
        <w:rPr>
          <w:lang w:val="en-ZA"/>
        </w:rPr>
        <w:t>The university will provide reasonable accommodations and support services to ensure equitable access for individuals with disabilities. This includes, but is not limited to:</w:t>
      </w:r>
    </w:p>
    <w:p w14:paraId="19044110" w14:textId="77777777" w:rsidR="00C568F2" w:rsidRDefault="00A06F97" w:rsidP="00D80C1E">
      <w:pPr>
        <w:pStyle w:val="ListParagraph"/>
        <w:numPr>
          <w:ilvl w:val="0"/>
          <w:numId w:val="14"/>
        </w:numPr>
        <w:rPr>
          <w:lang w:val="en-ZA"/>
        </w:rPr>
      </w:pPr>
      <w:r w:rsidRPr="00C568F2">
        <w:rPr>
          <w:lang w:val="en-ZA"/>
        </w:rPr>
        <w:t>Ensuring physical accessibility at university facilities and events.</w:t>
      </w:r>
    </w:p>
    <w:p w14:paraId="77E10A2E" w14:textId="77777777" w:rsidR="00C568F2" w:rsidRDefault="00A06F97" w:rsidP="00D80C1E">
      <w:pPr>
        <w:pStyle w:val="ListParagraph"/>
        <w:numPr>
          <w:ilvl w:val="0"/>
          <w:numId w:val="14"/>
        </w:numPr>
        <w:rPr>
          <w:lang w:val="en-ZA"/>
        </w:rPr>
      </w:pPr>
      <w:r w:rsidRPr="00C568F2">
        <w:rPr>
          <w:lang w:val="en-ZA"/>
        </w:rPr>
        <w:t>Providing materials in accessible formats (e.g., large print, braille, digital).</w:t>
      </w:r>
    </w:p>
    <w:p w14:paraId="3B72F45D" w14:textId="77777777" w:rsidR="00C568F2" w:rsidRDefault="00A06F97" w:rsidP="00D80C1E">
      <w:pPr>
        <w:pStyle w:val="ListParagraph"/>
        <w:numPr>
          <w:ilvl w:val="0"/>
          <w:numId w:val="14"/>
        </w:numPr>
        <w:rPr>
          <w:lang w:val="en-ZA"/>
        </w:rPr>
      </w:pPr>
      <w:r w:rsidRPr="00C568F2">
        <w:rPr>
          <w:lang w:val="en-ZA"/>
        </w:rPr>
        <w:t>Offering captioning, sign language interpretation, and other communication supports.</w:t>
      </w:r>
    </w:p>
    <w:p w14:paraId="0C0B38D5" w14:textId="27D89904" w:rsidR="00A06F97" w:rsidRDefault="00A06F97" w:rsidP="00D80C1E">
      <w:pPr>
        <w:pStyle w:val="ListParagraph"/>
        <w:numPr>
          <w:ilvl w:val="0"/>
          <w:numId w:val="14"/>
        </w:numPr>
        <w:rPr>
          <w:lang w:val="en-ZA"/>
        </w:rPr>
      </w:pPr>
      <w:r w:rsidRPr="00C568F2">
        <w:rPr>
          <w:lang w:val="en-ZA"/>
        </w:rPr>
        <w:t>Maintaining digital resources and platforms that comply with Web Content Accessibility Guidelines (WCAG).</w:t>
      </w:r>
    </w:p>
    <w:p w14:paraId="455478C7" w14:textId="0BA43D2D" w:rsidR="00C568F2" w:rsidRPr="00C568F2" w:rsidRDefault="00C24A77" w:rsidP="00D80C1E">
      <w:pPr>
        <w:pStyle w:val="ListParagraph"/>
        <w:numPr>
          <w:ilvl w:val="0"/>
          <w:numId w:val="14"/>
        </w:numPr>
        <w:rPr>
          <w:lang w:val="en-ZA"/>
        </w:rPr>
      </w:pPr>
      <w:r>
        <w:rPr>
          <w:lang w:val="en-ZA"/>
        </w:rPr>
        <w:t xml:space="preserve">Ensuring that </w:t>
      </w:r>
      <w:r w:rsidR="00A53A9F">
        <w:rPr>
          <w:lang w:val="en-ZA"/>
        </w:rPr>
        <w:t>U</w:t>
      </w:r>
      <w:r w:rsidR="00D77C94">
        <w:rPr>
          <w:lang w:val="en-ZA"/>
        </w:rPr>
        <w:t>niversal Design for Learning (UDL) principles guide all pedagogical processes.</w:t>
      </w:r>
      <w:r w:rsidR="005A10F1">
        <w:rPr>
          <w:lang w:val="en-ZA"/>
        </w:rPr>
        <w:t>”</w:t>
      </w:r>
      <w:r w:rsidR="00D77C94">
        <w:rPr>
          <w:lang w:val="en-ZA"/>
        </w:rPr>
        <w:t xml:space="preserve"> </w:t>
      </w:r>
    </w:p>
    <w:p w14:paraId="258FED1E" w14:textId="77777777" w:rsidR="00A06F97" w:rsidRPr="00A06F97" w:rsidRDefault="00A06F97" w:rsidP="00CA2738">
      <w:pPr>
        <w:rPr>
          <w:lang w:val="en-ZA"/>
        </w:rPr>
      </w:pPr>
    </w:p>
    <w:p w14:paraId="05290832" w14:textId="144638BC" w:rsidR="00D44F4B" w:rsidRDefault="00A06F97" w:rsidP="00CA2738">
      <w:pPr>
        <w:rPr>
          <w:lang w:val="en-ZA"/>
        </w:rPr>
      </w:pPr>
      <w:r w:rsidRPr="00A06F97">
        <w:rPr>
          <w:lang w:val="en-ZA"/>
        </w:rPr>
        <w:t>All members of the university community</w:t>
      </w:r>
      <w:r w:rsidR="002C516F">
        <w:rPr>
          <w:lang w:val="en-ZA"/>
        </w:rPr>
        <w:t xml:space="preserve"> </w:t>
      </w:r>
      <w:r w:rsidRPr="00A06F97">
        <w:rPr>
          <w:lang w:val="en-ZA"/>
        </w:rPr>
        <w:t>are expected to</w:t>
      </w:r>
      <w:r w:rsidR="002C516F">
        <w:rPr>
          <w:lang w:val="en-ZA"/>
        </w:rPr>
        <w:t xml:space="preserve"> r</w:t>
      </w:r>
      <w:r w:rsidRPr="00A06F97">
        <w:rPr>
          <w:lang w:val="en-ZA"/>
        </w:rPr>
        <w:t>espect the rights and dignity of individuals with disabilities</w:t>
      </w:r>
      <w:r w:rsidR="002C516F">
        <w:rPr>
          <w:lang w:val="en-ZA"/>
        </w:rPr>
        <w:t>, and to a</w:t>
      </w:r>
      <w:r w:rsidRPr="00A06F97">
        <w:rPr>
          <w:lang w:val="en-ZA"/>
        </w:rPr>
        <w:t>dhere to accessibility guidelines in communications, presentations, and digital content.</w:t>
      </w:r>
      <w:r w:rsidR="002C516F">
        <w:rPr>
          <w:lang w:val="en-ZA"/>
        </w:rPr>
        <w:t xml:space="preserve"> </w:t>
      </w:r>
      <w:r w:rsidRPr="00A06F97">
        <w:rPr>
          <w:lang w:val="en-ZA"/>
        </w:rPr>
        <w:t>Discrimination based on disability or failure to comply with accessibility obligations constitutes a violation of university policy. Individuals are encouraged to report accessibility concerns, and the university will take appropriate action to address them.</w:t>
      </w:r>
    </w:p>
    <w:p w14:paraId="7B2D17B6" w14:textId="439C35E8" w:rsidR="00916B43" w:rsidRDefault="00916B43" w:rsidP="002326D6">
      <w:pPr>
        <w:pStyle w:val="Heading4"/>
        <w:rPr>
          <w:lang w:val="en-ZA"/>
        </w:rPr>
      </w:pPr>
      <w:r w:rsidRPr="00D44F4B">
        <w:rPr>
          <w:lang w:val="en-ZA"/>
        </w:rPr>
        <w:t>Data protection and confidentiality</w:t>
      </w:r>
    </w:p>
    <w:p w14:paraId="350B6D95" w14:textId="0793AB94" w:rsidR="0013734D" w:rsidRPr="0013734D" w:rsidRDefault="00B2231F" w:rsidP="00CA2738">
      <w:pPr>
        <w:rPr>
          <w:lang w:val="en-ZA"/>
        </w:rPr>
      </w:pPr>
      <w:r>
        <w:rPr>
          <w:lang w:val="en-ZA"/>
        </w:rPr>
        <w:t xml:space="preserve">HR divisions and personnel have access to a range of </w:t>
      </w:r>
      <w:r w:rsidR="00DE0F80">
        <w:rPr>
          <w:lang w:val="en-ZA"/>
        </w:rPr>
        <w:t xml:space="preserve">personal or sensitive datapoints collected from staff and students. This section should </w:t>
      </w:r>
      <w:r w:rsidR="006A608A" w:rsidRPr="00237229">
        <w:rPr>
          <w:b/>
          <w:bCs/>
          <w:lang w:val="en-ZA"/>
        </w:rPr>
        <w:t xml:space="preserve">note the efforts that the institution makes to protect </w:t>
      </w:r>
      <w:r w:rsidR="0013734D" w:rsidRPr="00237229">
        <w:rPr>
          <w:b/>
          <w:bCs/>
          <w:lang w:val="en-ZA"/>
        </w:rPr>
        <w:t>the privacy and confidentiality of all personal and sensitive data in accordance with applicable laws</w:t>
      </w:r>
      <w:r w:rsidR="006A608A" w:rsidRPr="00237229">
        <w:rPr>
          <w:b/>
          <w:bCs/>
          <w:lang w:val="en-ZA"/>
        </w:rPr>
        <w:t xml:space="preserve"> and policies</w:t>
      </w:r>
      <w:r w:rsidR="0013734D" w:rsidRPr="0013734D">
        <w:rPr>
          <w:lang w:val="en-ZA"/>
        </w:rPr>
        <w:t xml:space="preserve">. </w:t>
      </w:r>
    </w:p>
    <w:p w14:paraId="1277B596" w14:textId="77777777" w:rsidR="0013734D" w:rsidRPr="0013734D" w:rsidRDefault="0013734D" w:rsidP="00CA2738">
      <w:pPr>
        <w:rPr>
          <w:lang w:val="en-ZA"/>
        </w:rPr>
      </w:pPr>
    </w:p>
    <w:p w14:paraId="67352F66" w14:textId="3884CC52" w:rsidR="0013734D" w:rsidRPr="00CC4998" w:rsidRDefault="0013734D" w:rsidP="00CA2738">
      <w:pPr>
        <w:rPr>
          <w:b/>
          <w:bCs/>
          <w:lang w:val="en-ZA"/>
        </w:rPr>
      </w:pPr>
      <w:r w:rsidRPr="0013734D">
        <w:rPr>
          <w:lang w:val="en-ZA"/>
        </w:rPr>
        <w:t>Confidential information, including student</w:t>
      </w:r>
      <w:r w:rsidR="006A608A">
        <w:rPr>
          <w:lang w:val="en-ZA"/>
        </w:rPr>
        <w:t xml:space="preserve"> and staff</w:t>
      </w:r>
      <w:r w:rsidRPr="0013734D">
        <w:rPr>
          <w:lang w:val="en-ZA"/>
        </w:rPr>
        <w:t xml:space="preserve"> records</w:t>
      </w:r>
      <w:r w:rsidR="00620E86">
        <w:rPr>
          <w:lang w:val="en-ZA"/>
        </w:rPr>
        <w:t xml:space="preserve"> and </w:t>
      </w:r>
      <w:r w:rsidRPr="0013734D">
        <w:rPr>
          <w:lang w:val="en-ZA"/>
        </w:rPr>
        <w:t>research data, must be protected from unauthori</w:t>
      </w:r>
      <w:r w:rsidR="00482B5E">
        <w:rPr>
          <w:lang w:val="en-ZA"/>
        </w:rPr>
        <w:t>s</w:t>
      </w:r>
      <w:r w:rsidRPr="0013734D">
        <w:rPr>
          <w:lang w:val="en-ZA"/>
        </w:rPr>
        <w:t xml:space="preserve">ed access, disclosure, or misuse. Access to such data should be restricted to individuals with a legitimate need and must comply with </w:t>
      </w:r>
      <w:r w:rsidR="00620E86">
        <w:rPr>
          <w:lang w:val="en-ZA"/>
        </w:rPr>
        <w:t xml:space="preserve">national legislation and </w:t>
      </w:r>
      <w:r w:rsidRPr="0013734D">
        <w:rPr>
          <w:lang w:val="en-ZA"/>
        </w:rPr>
        <w:t xml:space="preserve">institutional </w:t>
      </w:r>
      <w:r w:rsidR="00620E86">
        <w:rPr>
          <w:lang w:val="en-ZA"/>
        </w:rPr>
        <w:t xml:space="preserve">and national </w:t>
      </w:r>
      <w:r w:rsidRPr="0013734D">
        <w:rPr>
          <w:lang w:val="en-ZA"/>
        </w:rPr>
        <w:t>policies. Personal data should not be shared outside the university without proper authori</w:t>
      </w:r>
      <w:r w:rsidR="00482B5E">
        <w:rPr>
          <w:lang w:val="en-ZA"/>
        </w:rPr>
        <w:t>s</w:t>
      </w:r>
      <w:r w:rsidRPr="0013734D">
        <w:rPr>
          <w:lang w:val="en-ZA"/>
        </w:rPr>
        <w:t>ation, and any breaches or suspected violations must be reported immediately.</w:t>
      </w:r>
      <w:r w:rsidR="00A327FC">
        <w:rPr>
          <w:lang w:val="en-ZA"/>
        </w:rPr>
        <w:t xml:space="preserve"> </w:t>
      </w:r>
      <w:r w:rsidR="00990AF1">
        <w:rPr>
          <w:lang w:val="en-ZA"/>
        </w:rPr>
        <w:t xml:space="preserve">In addition, data infrastructure should ensure the safe storage and management of </w:t>
      </w:r>
      <w:r w:rsidR="00A327FC">
        <w:rPr>
          <w:lang w:val="en-ZA"/>
        </w:rPr>
        <w:t>personal and sensitive data.</w:t>
      </w:r>
      <w:r w:rsidR="00CE71B9">
        <w:rPr>
          <w:lang w:val="en-ZA"/>
        </w:rPr>
        <w:t xml:space="preserve"> HR policy statements on confidentiality should be read alongside additional institutional policies on </w:t>
      </w:r>
      <w:r w:rsidR="00470F60">
        <w:rPr>
          <w:lang w:val="en-ZA"/>
        </w:rPr>
        <w:t>intellectual property, research, and data protection and management.</w:t>
      </w:r>
      <w:r w:rsidR="002326D6">
        <w:rPr>
          <w:lang w:val="en-ZA"/>
        </w:rPr>
        <w:t xml:space="preserve"> </w:t>
      </w:r>
      <w:r w:rsidR="00CC4998" w:rsidRPr="00CC4998">
        <w:rPr>
          <w:b/>
          <w:bCs/>
          <w:lang w:val="en-ZA"/>
        </w:rPr>
        <w:t>See</w:t>
      </w:r>
      <w:r w:rsidR="00470F60">
        <w:rPr>
          <w:b/>
          <w:bCs/>
          <w:lang w:val="en-ZA"/>
        </w:rPr>
        <w:t xml:space="preserve"> also</w:t>
      </w:r>
      <w:r w:rsidR="00CC4998" w:rsidRPr="00CC4998">
        <w:rPr>
          <w:b/>
          <w:bCs/>
          <w:lang w:val="en-ZA"/>
        </w:rPr>
        <w:t xml:space="preserve"> Appendix H for </w:t>
      </w:r>
      <w:r w:rsidR="00BF2DF5">
        <w:rPr>
          <w:b/>
          <w:bCs/>
          <w:lang w:val="en-ZA"/>
        </w:rPr>
        <w:t xml:space="preserve">the </w:t>
      </w:r>
      <w:r w:rsidR="00FB3F1D">
        <w:rPr>
          <w:b/>
          <w:bCs/>
          <w:lang w:val="en-ZA"/>
        </w:rPr>
        <w:t>inclusion of</w:t>
      </w:r>
      <w:r w:rsidR="00CC4998" w:rsidRPr="00CC4998">
        <w:rPr>
          <w:b/>
          <w:bCs/>
          <w:lang w:val="en-ZA"/>
        </w:rPr>
        <w:t xml:space="preserve"> confidentiality as part of the Code of Conduct. </w:t>
      </w:r>
    </w:p>
    <w:p w14:paraId="10624DFC" w14:textId="77777777" w:rsidR="002D3285" w:rsidRDefault="002D3285" w:rsidP="002326D6">
      <w:pPr>
        <w:pStyle w:val="Heading4"/>
        <w:rPr>
          <w:lang w:val="en-ZA"/>
        </w:rPr>
      </w:pPr>
      <w:r w:rsidRPr="00597242">
        <w:rPr>
          <w:lang w:val="en-ZA"/>
        </w:rPr>
        <w:lastRenderedPageBreak/>
        <w:t>Intellectual property and ownership of research output</w:t>
      </w:r>
    </w:p>
    <w:p w14:paraId="0BF39303" w14:textId="61893433" w:rsidR="00916B43" w:rsidRDefault="00374B91" w:rsidP="00CA2738">
      <w:pPr>
        <w:rPr>
          <w:lang w:val="en-ZA"/>
        </w:rPr>
      </w:pPr>
      <w:r>
        <w:rPr>
          <w:lang w:val="en-ZA"/>
        </w:rPr>
        <w:t xml:space="preserve">The </w:t>
      </w:r>
      <w:proofErr w:type="spellStart"/>
      <w:r>
        <w:rPr>
          <w:lang w:val="en-ZA"/>
        </w:rPr>
        <w:t>CoS</w:t>
      </w:r>
      <w:proofErr w:type="spellEnd"/>
      <w:r>
        <w:rPr>
          <w:lang w:val="en-ZA"/>
        </w:rPr>
        <w:t xml:space="preserve"> document </w:t>
      </w:r>
      <w:r w:rsidR="00BF2DF5">
        <w:rPr>
          <w:lang w:val="en-ZA"/>
        </w:rPr>
        <w:t>should</w:t>
      </w:r>
      <w:r>
        <w:rPr>
          <w:lang w:val="en-ZA"/>
        </w:rPr>
        <w:t xml:space="preserve"> </w:t>
      </w:r>
      <w:proofErr w:type="gramStart"/>
      <w:r w:rsidR="003B64CD">
        <w:rPr>
          <w:lang w:val="en-ZA"/>
        </w:rPr>
        <w:t>make</w:t>
      </w:r>
      <w:r>
        <w:rPr>
          <w:lang w:val="en-ZA"/>
        </w:rPr>
        <w:t xml:space="preserve"> </w:t>
      </w:r>
      <w:r w:rsidRPr="009D1D28">
        <w:rPr>
          <w:b/>
          <w:bCs/>
          <w:lang w:val="en-ZA"/>
        </w:rPr>
        <w:t>reference</w:t>
      </w:r>
      <w:proofErr w:type="gramEnd"/>
      <w:r w:rsidRPr="009D1D28">
        <w:rPr>
          <w:b/>
          <w:bCs/>
          <w:lang w:val="en-ZA"/>
        </w:rPr>
        <w:t xml:space="preserve"> to institutional </w:t>
      </w:r>
      <w:r w:rsidRPr="009D1D28">
        <w:rPr>
          <w:b/>
          <w:bCs/>
          <w:color w:val="000000" w:themeColor="text1"/>
          <w:lang w:val="en-ZA"/>
        </w:rPr>
        <w:t>Intellectual Property (IP)</w:t>
      </w:r>
      <w:r w:rsidRPr="00470F60">
        <w:rPr>
          <w:color w:val="000000" w:themeColor="text1"/>
          <w:lang w:val="en-ZA"/>
        </w:rPr>
        <w:t xml:space="preserve"> </w:t>
      </w:r>
      <w:r w:rsidR="00DA563F" w:rsidRPr="00470F60">
        <w:rPr>
          <w:color w:val="000000" w:themeColor="text1"/>
          <w:lang w:val="en-ZA"/>
        </w:rPr>
        <w:t xml:space="preserve">and research policy statements </w:t>
      </w:r>
      <w:r w:rsidR="00DA563F">
        <w:rPr>
          <w:lang w:val="en-ZA"/>
        </w:rPr>
        <w:t xml:space="preserve">to </w:t>
      </w:r>
      <w:r w:rsidR="00E60113">
        <w:rPr>
          <w:lang w:val="en-ZA"/>
        </w:rPr>
        <w:t xml:space="preserve">manage </w:t>
      </w:r>
      <w:r w:rsidR="003B64CD">
        <w:rPr>
          <w:lang w:val="en-ZA"/>
        </w:rPr>
        <w:t xml:space="preserve">the </w:t>
      </w:r>
      <w:r w:rsidR="00E60113">
        <w:rPr>
          <w:lang w:val="en-ZA"/>
        </w:rPr>
        <w:t xml:space="preserve">expectations of new employees and guide them towards </w:t>
      </w:r>
      <w:r w:rsidR="00525A5B">
        <w:rPr>
          <w:lang w:val="en-ZA"/>
        </w:rPr>
        <w:t xml:space="preserve">good research practices. A summary of these policies </w:t>
      </w:r>
      <w:r w:rsidR="006B3DA7">
        <w:rPr>
          <w:lang w:val="en-ZA"/>
        </w:rPr>
        <w:t xml:space="preserve">for </w:t>
      </w:r>
      <w:r w:rsidR="003B64CD">
        <w:rPr>
          <w:lang w:val="en-ZA"/>
        </w:rPr>
        <w:t xml:space="preserve">inclusion in </w:t>
      </w:r>
      <w:r w:rsidR="006B3DA7">
        <w:rPr>
          <w:lang w:val="en-ZA"/>
        </w:rPr>
        <w:t xml:space="preserve">the </w:t>
      </w:r>
      <w:proofErr w:type="spellStart"/>
      <w:r w:rsidR="006B3DA7">
        <w:rPr>
          <w:lang w:val="en-ZA"/>
        </w:rPr>
        <w:t>CoS</w:t>
      </w:r>
      <w:proofErr w:type="spellEnd"/>
      <w:r w:rsidR="006B3DA7">
        <w:rPr>
          <w:lang w:val="en-ZA"/>
        </w:rPr>
        <w:t xml:space="preserve"> might </w:t>
      </w:r>
      <w:r w:rsidR="003B64CD">
        <w:rPr>
          <w:lang w:val="en-ZA"/>
        </w:rPr>
        <w:t>comprise</w:t>
      </w:r>
      <w:r w:rsidR="006B3DA7">
        <w:rPr>
          <w:lang w:val="en-ZA"/>
        </w:rPr>
        <w:t xml:space="preserve"> key statements on IP, </w:t>
      </w:r>
      <w:r w:rsidR="00E84AE3">
        <w:rPr>
          <w:lang w:val="en-ZA"/>
        </w:rPr>
        <w:t xml:space="preserve">patents, </w:t>
      </w:r>
      <w:r w:rsidR="002D0335">
        <w:rPr>
          <w:lang w:val="en-ZA"/>
        </w:rPr>
        <w:t xml:space="preserve">business partnership prospects, </w:t>
      </w:r>
      <w:r w:rsidR="00E84AE3">
        <w:rPr>
          <w:lang w:val="en-ZA"/>
        </w:rPr>
        <w:t xml:space="preserve">general ownership of academic work, </w:t>
      </w:r>
      <w:r w:rsidR="00FB27DA">
        <w:rPr>
          <w:lang w:val="en-ZA"/>
        </w:rPr>
        <w:t>academic freedom and</w:t>
      </w:r>
      <w:r w:rsidR="00BC6A85">
        <w:rPr>
          <w:lang w:val="en-ZA"/>
        </w:rPr>
        <w:t xml:space="preserve"> integrity,</w:t>
      </w:r>
      <w:r w:rsidR="00FB27DA">
        <w:rPr>
          <w:lang w:val="en-ZA"/>
        </w:rPr>
        <w:t xml:space="preserve"> </w:t>
      </w:r>
      <w:r w:rsidR="009E2F46">
        <w:rPr>
          <w:lang w:val="en-ZA"/>
        </w:rPr>
        <w:t xml:space="preserve">internal research approval processes, availability of seed funding, </w:t>
      </w:r>
      <w:r w:rsidR="002D0335">
        <w:rPr>
          <w:lang w:val="en-ZA"/>
        </w:rPr>
        <w:t xml:space="preserve">publication incentives, and </w:t>
      </w:r>
      <w:r w:rsidR="00146C3F">
        <w:rPr>
          <w:lang w:val="en-ZA"/>
        </w:rPr>
        <w:t>recognition</w:t>
      </w:r>
      <w:r w:rsidR="00635F0C">
        <w:rPr>
          <w:lang w:val="en-ZA"/>
        </w:rPr>
        <w:t xml:space="preserve"> of excellence. </w:t>
      </w:r>
    </w:p>
    <w:p w14:paraId="37A26B91" w14:textId="02AC313F" w:rsidR="0033043D" w:rsidRDefault="00C358F3" w:rsidP="00C358F3">
      <w:pPr>
        <w:pStyle w:val="Heading3"/>
      </w:pPr>
      <w:r>
        <w:t>HR and the o</w:t>
      </w:r>
      <w:r w:rsidR="004835C1">
        <w:t>rgani</w:t>
      </w:r>
      <w:r w:rsidR="00482B5E">
        <w:t>s</w:t>
      </w:r>
      <w:r w:rsidR="004835C1">
        <w:t>ational level</w:t>
      </w:r>
    </w:p>
    <w:p w14:paraId="4C35E1DA" w14:textId="1692EF0C" w:rsidR="00CA56BF" w:rsidRPr="00CA56BF" w:rsidRDefault="00563841" w:rsidP="00CA2738">
      <w:pPr>
        <w:rPr>
          <w:lang w:val="en-ZA"/>
        </w:rPr>
      </w:pPr>
      <w:r>
        <w:rPr>
          <w:lang w:val="en-ZA"/>
        </w:rPr>
        <w:t>T</w:t>
      </w:r>
      <w:r w:rsidR="00CA56BF" w:rsidRPr="00CA56BF">
        <w:rPr>
          <w:lang w:val="en-ZA"/>
        </w:rPr>
        <w:t xml:space="preserve">he role of HR professionals has evolved from </w:t>
      </w:r>
      <w:r w:rsidR="004B1D55">
        <w:rPr>
          <w:lang w:val="en-ZA"/>
        </w:rPr>
        <w:t xml:space="preserve">being </w:t>
      </w:r>
      <w:r w:rsidR="00CA56BF" w:rsidRPr="00CA56BF">
        <w:rPr>
          <w:lang w:val="en-ZA"/>
        </w:rPr>
        <w:t xml:space="preserve">a largely administrative function to </w:t>
      </w:r>
      <w:r w:rsidR="004B1D55">
        <w:rPr>
          <w:lang w:val="en-ZA"/>
        </w:rPr>
        <w:t xml:space="preserve">them being </w:t>
      </w:r>
      <w:r w:rsidR="00CA56BF" w:rsidRPr="00CA56BF">
        <w:rPr>
          <w:lang w:val="en-ZA"/>
        </w:rPr>
        <w:t xml:space="preserve">a key strategic partner within the institution. </w:t>
      </w:r>
      <w:r w:rsidR="0026295A">
        <w:rPr>
          <w:lang w:val="en-ZA"/>
        </w:rPr>
        <w:t>T</w:t>
      </w:r>
      <w:r w:rsidR="00CA56BF" w:rsidRPr="00CA56BF">
        <w:rPr>
          <w:lang w:val="en-ZA"/>
        </w:rPr>
        <w:t xml:space="preserve">asks like recruitment, selection, and payroll processing </w:t>
      </w:r>
      <w:r w:rsidR="0026295A">
        <w:rPr>
          <w:lang w:val="en-ZA"/>
        </w:rPr>
        <w:t xml:space="preserve">have </w:t>
      </w:r>
      <w:r w:rsidR="004B1D55">
        <w:rPr>
          <w:lang w:val="en-ZA"/>
        </w:rPr>
        <w:t>developed</w:t>
      </w:r>
      <w:r w:rsidR="0026295A">
        <w:rPr>
          <w:lang w:val="en-ZA"/>
        </w:rPr>
        <w:t xml:space="preserve"> in such a way that </w:t>
      </w:r>
      <w:r w:rsidR="00CA56BF" w:rsidRPr="00CA56BF">
        <w:rPr>
          <w:lang w:val="en-ZA"/>
        </w:rPr>
        <w:t>HR now plays a critical role in shaping the long-term direction and success of universities by engaging in strategic human resource management</w:t>
      </w:r>
      <w:r w:rsidR="001F139E">
        <w:rPr>
          <w:lang w:val="en-ZA"/>
        </w:rPr>
        <w:t xml:space="preserve"> and </w:t>
      </w:r>
      <w:r w:rsidR="00A701D7">
        <w:rPr>
          <w:lang w:val="en-ZA"/>
        </w:rPr>
        <w:t xml:space="preserve">forming </w:t>
      </w:r>
      <w:r w:rsidR="001F139E">
        <w:rPr>
          <w:lang w:val="en-ZA"/>
        </w:rPr>
        <w:t>part of institutional decision-making teams.</w:t>
      </w:r>
      <w:r w:rsidR="006B06A4">
        <w:rPr>
          <w:rStyle w:val="FootnoteReference"/>
          <w:lang w:val="en-ZA"/>
        </w:rPr>
        <w:footnoteReference w:id="3"/>
      </w:r>
    </w:p>
    <w:p w14:paraId="4A2646C1" w14:textId="77777777" w:rsidR="00CA56BF" w:rsidRPr="00CA56BF" w:rsidRDefault="00CA56BF" w:rsidP="00CA2738">
      <w:pPr>
        <w:rPr>
          <w:lang w:val="en-ZA"/>
        </w:rPr>
      </w:pPr>
    </w:p>
    <w:p w14:paraId="185BB16E" w14:textId="7A9BB9B2" w:rsidR="00CA56BF" w:rsidRDefault="00CA56BF" w:rsidP="00CA2738">
      <w:pPr>
        <w:rPr>
          <w:lang w:val="en-ZA"/>
        </w:rPr>
      </w:pPr>
      <w:r w:rsidRPr="00CA56BF">
        <w:rPr>
          <w:lang w:val="en-ZA"/>
        </w:rPr>
        <w:t>S</w:t>
      </w:r>
      <w:r w:rsidR="006B06A4">
        <w:rPr>
          <w:lang w:val="en-ZA"/>
        </w:rPr>
        <w:t xml:space="preserve">ome </w:t>
      </w:r>
      <w:r w:rsidRPr="00CA56BF">
        <w:rPr>
          <w:lang w:val="en-ZA"/>
        </w:rPr>
        <w:t>key developments</w:t>
      </w:r>
      <w:r w:rsidR="006B06A4">
        <w:rPr>
          <w:lang w:val="en-ZA"/>
        </w:rPr>
        <w:t xml:space="preserve"> that</w:t>
      </w:r>
      <w:r w:rsidRPr="00CA56BF">
        <w:rPr>
          <w:lang w:val="en-ZA"/>
        </w:rPr>
        <w:t xml:space="preserve"> have driven this transformation</w:t>
      </w:r>
      <w:r w:rsidR="006B06A4">
        <w:rPr>
          <w:lang w:val="en-ZA"/>
        </w:rPr>
        <w:t xml:space="preserve"> include </w:t>
      </w:r>
      <w:r w:rsidRPr="00CA56BF">
        <w:rPr>
          <w:lang w:val="en-ZA"/>
        </w:rPr>
        <w:t xml:space="preserve">the increasing reliance on </w:t>
      </w:r>
      <w:r w:rsidR="00651C18">
        <w:rPr>
          <w:lang w:val="en-ZA"/>
        </w:rPr>
        <w:t>information, technology, and data</w:t>
      </w:r>
      <w:r w:rsidRPr="00CA56BF">
        <w:rPr>
          <w:lang w:val="en-ZA"/>
        </w:rPr>
        <w:t xml:space="preserve">, </w:t>
      </w:r>
      <w:r w:rsidR="00A701D7">
        <w:rPr>
          <w:lang w:val="en-ZA"/>
        </w:rPr>
        <w:t xml:space="preserve">all of </w:t>
      </w:r>
      <w:r w:rsidRPr="00CA56BF">
        <w:rPr>
          <w:lang w:val="en-ZA"/>
        </w:rPr>
        <w:t>which require HR teams to manage complex software systems for data analysis, performance tracking, and workforce planning. Another is the emphasis on</w:t>
      </w:r>
      <w:r w:rsidR="004975EF">
        <w:rPr>
          <w:lang w:val="en-ZA"/>
        </w:rPr>
        <w:t xml:space="preserve"> </w:t>
      </w:r>
      <w:r w:rsidR="00FF6F30">
        <w:rPr>
          <w:lang w:val="en-ZA"/>
        </w:rPr>
        <w:t xml:space="preserve">the increasingly competitive higher education environment, which demands </w:t>
      </w:r>
      <w:r w:rsidR="00C01E43">
        <w:rPr>
          <w:lang w:val="en-ZA"/>
        </w:rPr>
        <w:t xml:space="preserve">a more targeted approach in recruiting, developing, and retaining </w:t>
      </w:r>
      <w:r w:rsidR="008C4A6E">
        <w:rPr>
          <w:lang w:val="en-ZA"/>
        </w:rPr>
        <w:t xml:space="preserve">staff. </w:t>
      </w:r>
    </w:p>
    <w:p w14:paraId="2E0B7BF1" w14:textId="77777777" w:rsidR="00CA56BF" w:rsidRDefault="00CA56BF" w:rsidP="00CA2738">
      <w:pPr>
        <w:rPr>
          <w:lang w:val="en-ZA"/>
        </w:rPr>
      </w:pPr>
    </w:p>
    <w:p w14:paraId="261450D3" w14:textId="1452362D" w:rsidR="005C0072" w:rsidRDefault="00212581" w:rsidP="00CA2738">
      <w:pPr>
        <w:rPr>
          <w:lang w:val="en-ZA"/>
        </w:rPr>
      </w:pPr>
      <w:r>
        <w:rPr>
          <w:lang w:val="en-ZA"/>
        </w:rPr>
        <w:t xml:space="preserve">Talent management </w:t>
      </w:r>
      <w:r w:rsidR="00D53DC4">
        <w:rPr>
          <w:lang w:val="en-ZA"/>
        </w:rPr>
        <w:t xml:space="preserve">typically takes place in </w:t>
      </w:r>
      <w:r w:rsidR="005C0072">
        <w:rPr>
          <w:lang w:val="en-ZA"/>
        </w:rPr>
        <w:t>four stages:</w:t>
      </w:r>
    </w:p>
    <w:p w14:paraId="42EBB4A7" w14:textId="0F9FA92A" w:rsidR="005C0072" w:rsidRDefault="007B0537" w:rsidP="00D80C1E">
      <w:pPr>
        <w:pStyle w:val="ListParagraph"/>
        <w:numPr>
          <w:ilvl w:val="0"/>
          <w:numId w:val="15"/>
        </w:numPr>
        <w:rPr>
          <w:lang w:val="en-ZA"/>
        </w:rPr>
      </w:pPr>
      <w:r>
        <w:rPr>
          <w:lang w:val="en-ZA"/>
        </w:rPr>
        <w:t>Workforce planning</w:t>
      </w:r>
    </w:p>
    <w:p w14:paraId="7A2C2D0A" w14:textId="77777777" w:rsidR="007B0537" w:rsidRDefault="007B0537" w:rsidP="00D80C1E">
      <w:pPr>
        <w:pStyle w:val="ListParagraph"/>
        <w:numPr>
          <w:ilvl w:val="0"/>
          <w:numId w:val="15"/>
        </w:numPr>
        <w:rPr>
          <w:lang w:val="en-ZA"/>
        </w:rPr>
      </w:pPr>
      <w:r>
        <w:rPr>
          <w:lang w:val="en-ZA"/>
        </w:rPr>
        <w:t>Sourcing and recruiting talent</w:t>
      </w:r>
    </w:p>
    <w:p w14:paraId="42879F37" w14:textId="77777777" w:rsidR="004701DA" w:rsidRDefault="004701DA" w:rsidP="00D80C1E">
      <w:pPr>
        <w:pStyle w:val="ListParagraph"/>
        <w:numPr>
          <w:ilvl w:val="0"/>
          <w:numId w:val="15"/>
        </w:numPr>
        <w:rPr>
          <w:lang w:val="en-ZA"/>
        </w:rPr>
      </w:pPr>
      <w:r>
        <w:rPr>
          <w:lang w:val="en-ZA"/>
        </w:rPr>
        <w:t>Staff development</w:t>
      </w:r>
    </w:p>
    <w:p w14:paraId="1808B371" w14:textId="77777777" w:rsidR="004701DA" w:rsidRDefault="004701DA" w:rsidP="00D80C1E">
      <w:pPr>
        <w:pStyle w:val="ListParagraph"/>
        <w:numPr>
          <w:ilvl w:val="0"/>
          <w:numId w:val="15"/>
        </w:numPr>
        <w:rPr>
          <w:lang w:val="en-ZA"/>
        </w:rPr>
      </w:pPr>
      <w:r>
        <w:rPr>
          <w:lang w:val="en-ZA"/>
        </w:rPr>
        <w:t>Retention strategies</w:t>
      </w:r>
    </w:p>
    <w:p w14:paraId="14093DDE" w14:textId="77777777" w:rsidR="004701DA" w:rsidRDefault="004701DA" w:rsidP="00CA2738">
      <w:pPr>
        <w:rPr>
          <w:lang w:val="en-ZA"/>
        </w:rPr>
      </w:pPr>
    </w:p>
    <w:p w14:paraId="200B0DE4" w14:textId="7B6888D0" w:rsidR="00072F0B" w:rsidRDefault="00072F0B" w:rsidP="00CA2738">
      <w:pPr>
        <w:rPr>
          <w:lang w:val="en-ZA"/>
        </w:rPr>
      </w:pPr>
      <w:r w:rsidRPr="00072F0B">
        <w:rPr>
          <w:lang w:val="en-ZA"/>
        </w:rPr>
        <w:t xml:space="preserve">To effectively recruit, develop, and retain staff, </w:t>
      </w:r>
      <w:r w:rsidRPr="001B4C2A">
        <w:rPr>
          <w:b/>
          <w:bCs/>
          <w:lang w:val="en-ZA"/>
        </w:rPr>
        <w:t>higher education institutions must engage in structured workforce development planning</w:t>
      </w:r>
      <w:r w:rsidRPr="00072F0B">
        <w:rPr>
          <w:lang w:val="en-ZA"/>
        </w:rPr>
        <w:t xml:space="preserve">. This process </w:t>
      </w:r>
      <w:r w:rsidR="00A701D7">
        <w:rPr>
          <w:lang w:val="en-ZA"/>
        </w:rPr>
        <w:t>constitutes</w:t>
      </w:r>
      <w:r w:rsidR="00A701D7" w:rsidRPr="00072F0B">
        <w:rPr>
          <w:lang w:val="en-ZA"/>
        </w:rPr>
        <w:t xml:space="preserve"> </w:t>
      </w:r>
      <w:r w:rsidRPr="00072F0B">
        <w:rPr>
          <w:lang w:val="en-ZA"/>
        </w:rPr>
        <w:t>a</w:t>
      </w:r>
      <w:r>
        <w:rPr>
          <w:lang w:val="en-ZA"/>
        </w:rPr>
        <w:t>n important</w:t>
      </w:r>
      <w:r w:rsidRPr="00072F0B">
        <w:rPr>
          <w:lang w:val="en-ZA"/>
        </w:rPr>
        <w:t xml:space="preserve"> aspect of talent management, ensuring that human resource efforts align with the institution’s mission, vision, and long-term goals.</w:t>
      </w:r>
      <w:r>
        <w:rPr>
          <w:lang w:val="en-ZA"/>
        </w:rPr>
        <w:t xml:space="preserve"> </w:t>
      </w:r>
      <w:r w:rsidR="00E83560">
        <w:rPr>
          <w:lang w:val="en-ZA"/>
        </w:rPr>
        <w:t>W</w:t>
      </w:r>
      <w:r w:rsidRPr="00072F0B">
        <w:rPr>
          <w:lang w:val="en-ZA"/>
        </w:rPr>
        <w:t xml:space="preserve">orkforce planning </w:t>
      </w:r>
      <w:r w:rsidR="00E83560">
        <w:rPr>
          <w:lang w:val="en-ZA"/>
        </w:rPr>
        <w:t xml:space="preserve">needs to align </w:t>
      </w:r>
      <w:r w:rsidRPr="00072F0B">
        <w:rPr>
          <w:lang w:val="en-ZA"/>
        </w:rPr>
        <w:t xml:space="preserve">with the institutional strategic plan, identifying key priorities that require targeted workforce support. Institutions then </w:t>
      </w:r>
      <w:r w:rsidR="00E83560" w:rsidRPr="00072F0B">
        <w:rPr>
          <w:lang w:val="en-ZA"/>
        </w:rPr>
        <w:t>analyse</w:t>
      </w:r>
      <w:r w:rsidRPr="00072F0B">
        <w:rPr>
          <w:lang w:val="en-ZA"/>
        </w:rPr>
        <w:t xml:space="preserve"> their current workforce to identify skill gaps</w:t>
      </w:r>
      <w:r w:rsidR="00E83560">
        <w:rPr>
          <w:lang w:val="en-ZA"/>
        </w:rPr>
        <w:t xml:space="preserve"> </w:t>
      </w:r>
      <w:r w:rsidR="00BD5A36">
        <w:rPr>
          <w:lang w:val="en-ZA"/>
        </w:rPr>
        <w:t xml:space="preserve">and </w:t>
      </w:r>
      <w:r w:rsidRPr="00072F0B">
        <w:rPr>
          <w:lang w:val="en-ZA"/>
        </w:rPr>
        <w:t xml:space="preserve">critical roles, while also </w:t>
      </w:r>
      <w:r w:rsidR="00BD5A36">
        <w:rPr>
          <w:lang w:val="en-ZA"/>
        </w:rPr>
        <w:t>identifying</w:t>
      </w:r>
      <w:r w:rsidRPr="00072F0B">
        <w:rPr>
          <w:lang w:val="en-ZA"/>
        </w:rPr>
        <w:t xml:space="preserve"> potential candidates for internal talent development. </w:t>
      </w:r>
      <w:r w:rsidR="00C16107">
        <w:rPr>
          <w:lang w:val="en-ZA"/>
        </w:rPr>
        <w:t>In parallel, e</w:t>
      </w:r>
      <w:r w:rsidRPr="00072F0B">
        <w:rPr>
          <w:lang w:val="en-ZA"/>
        </w:rPr>
        <w:t xml:space="preserve">nvironmental scanning is </w:t>
      </w:r>
      <w:r w:rsidR="00C16107">
        <w:rPr>
          <w:lang w:val="en-ZA"/>
        </w:rPr>
        <w:t>necessary</w:t>
      </w:r>
      <w:r w:rsidRPr="00072F0B">
        <w:rPr>
          <w:lang w:val="en-ZA"/>
        </w:rPr>
        <w:t xml:space="preserve"> to assess internal and external factors, such as technological advancements, funding, regulatory changes, program adjustments, and retirements, that may impact workforce needs.</w:t>
      </w:r>
      <w:r w:rsidR="00C16107">
        <w:rPr>
          <w:lang w:val="en-ZA"/>
        </w:rPr>
        <w:t xml:space="preserve"> </w:t>
      </w:r>
      <w:r w:rsidR="002B4757" w:rsidRPr="00E63EF7">
        <w:rPr>
          <w:b/>
          <w:bCs/>
          <w:color w:val="000000" w:themeColor="text1"/>
          <w:lang w:val="en-ZA"/>
        </w:rPr>
        <w:t xml:space="preserve">A workforce planning template is provided in Appendix </w:t>
      </w:r>
      <w:r w:rsidR="00E63EF7">
        <w:rPr>
          <w:b/>
          <w:bCs/>
          <w:color w:val="000000" w:themeColor="text1"/>
          <w:lang w:val="en-ZA"/>
        </w:rPr>
        <w:t>I</w:t>
      </w:r>
      <w:r w:rsidR="002B4757" w:rsidRPr="00E63EF7">
        <w:rPr>
          <w:b/>
          <w:bCs/>
          <w:color w:val="000000" w:themeColor="text1"/>
          <w:lang w:val="en-ZA"/>
        </w:rPr>
        <w:t>.</w:t>
      </w:r>
      <w:r w:rsidR="002B4757" w:rsidRPr="00E63EF7">
        <w:rPr>
          <w:color w:val="000000" w:themeColor="text1"/>
          <w:lang w:val="en-ZA"/>
        </w:rPr>
        <w:t xml:space="preserve"> </w:t>
      </w:r>
      <w:r w:rsidRPr="00072F0B">
        <w:rPr>
          <w:lang w:val="en-ZA"/>
        </w:rPr>
        <w:t xml:space="preserve">Based on these analyses, institutions </w:t>
      </w:r>
      <w:r w:rsidR="00C16107">
        <w:rPr>
          <w:lang w:val="en-ZA"/>
        </w:rPr>
        <w:t>can</w:t>
      </w:r>
      <w:r w:rsidRPr="00072F0B">
        <w:rPr>
          <w:lang w:val="en-ZA"/>
        </w:rPr>
        <w:t xml:space="preserve"> review and refine their recruitment strategies, staff development initiatives, and retention practices to attract and maintain the talent necessary to achieve their goals.</w:t>
      </w:r>
    </w:p>
    <w:p w14:paraId="60A9388B" w14:textId="77777777" w:rsidR="00043A2F" w:rsidRDefault="00043A2F" w:rsidP="00CA2738">
      <w:pPr>
        <w:rPr>
          <w:lang w:val="en-ZA"/>
        </w:rPr>
      </w:pPr>
    </w:p>
    <w:p w14:paraId="25EA0547" w14:textId="00C0527D" w:rsidR="00DD5196" w:rsidRPr="00DD5196" w:rsidRDefault="00DD5196" w:rsidP="00CA2738">
      <w:pPr>
        <w:rPr>
          <w:lang w:val="en-ZA"/>
        </w:rPr>
      </w:pPr>
      <w:r w:rsidRPr="00DD5196">
        <w:rPr>
          <w:lang w:val="en-ZA"/>
        </w:rPr>
        <w:t xml:space="preserve">Institutions should also ensure </w:t>
      </w:r>
      <w:r w:rsidRPr="001B4C2A">
        <w:rPr>
          <w:b/>
          <w:bCs/>
          <w:lang w:val="en-ZA"/>
        </w:rPr>
        <w:t>that job vacancies are filled in a way that aligns with their strategic goals</w:t>
      </w:r>
      <w:r w:rsidRPr="00DD5196">
        <w:rPr>
          <w:lang w:val="en-ZA"/>
        </w:rPr>
        <w:t xml:space="preserve">. </w:t>
      </w:r>
      <w:r>
        <w:rPr>
          <w:lang w:val="en-ZA"/>
        </w:rPr>
        <w:t>Ideally, a</w:t>
      </w:r>
      <w:r w:rsidRPr="00DD5196">
        <w:rPr>
          <w:lang w:val="en-ZA"/>
        </w:rPr>
        <w:t xml:space="preserve"> talent management committee should identify key positions needed to advance these goals, and these positions should be approved by top management, as well as finance and human resource departments. Before recruiting externally, institutions should </w:t>
      </w:r>
      <w:r w:rsidRPr="001B4C2A">
        <w:rPr>
          <w:b/>
          <w:bCs/>
          <w:lang w:val="en-ZA"/>
        </w:rPr>
        <w:t xml:space="preserve">consider </w:t>
      </w:r>
      <w:r w:rsidR="00A701D7">
        <w:rPr>
          <w:b/>
          <w:bCs/>
          <w:lang w:val="en-ZA"/>
        </w:rPr>
        <w:t xml:space="preserve">internal </w:t>
      </w:r>
      <w:r w:rsidRPr="001B4C2A">
        <w:rPr>
          <w:b/>
          <w:bCs/>
          <w:lang w:val="en-ZA"/>
        </w:rPr>
        <w:t xml:space="preserve">sourcing </w:t>
      </w:r>
      <w:r w:rsidR="00A701D7">
        <w:rPr>
          <w:b/>
          <w:bCs/>
          <w:lang w:val="en-ZA"/>
        </w:rPr>
        <w:t xml:space="preserve">of </w:t>
      </w:r>
      <w:r w:rsidRPr="001B4C2A">
        <w:rPr>
          <w:b/>
          <w:bCs/>
          <w:lang w:val="en-ZA"/>
        </w:rPr>
        <w:t>talent</w:t>
      </w:r>
      <w:r w:rsidRPr="00DD5196">
        <w:rPr>
          <w:lang w:val="en-ZA"/>
        </w:rPr>
        <w:t>. All other job vacancies not identified through strategic workforce planning should follow standard human resource policies</w:t>
      </w:r>
      <w:r w:rsidR="00116A81">
        <w:rPr>
          <w:lang w:val="en-ZA"/>
        </w:rPr>
        <w:t xml:space="preserve">. </w:t>
      </w:r>
      <w:r w:rsidRPr="00DD5196">
        <w:rPr>
          <w:lang w:val="en-ZA"/>
        </w:rPr>
        <w:t xml:space="preserve">When sourcing talent to advance strategic goals, institutions should follow </w:t>
      </w:r>
      <w:r w:rsidR="001666AC">
        <w:rPr>
          <w:lang w:val="en-ZA"/>
        </w:rPr>
        <w:t>HR</w:t>
      </w:r>
      <w:r w:rsidRPr="00DD5196">
        <w:rPr>
          <w:lang w:val="en-ZA"/>
        </w:rPr>
        <w:t xml:space="preserve"> policies but may also use alternative </w:t>
      </w:r>
      <w:r w:rsidRPr="00DD5196">
        <w:rPr>
          <w:lang w:val="en-ZA"/>
        </w:rPr>
        <w:lastRenderedPageBreak/>
        <w:t>methods such as headhunting or talent pools to find candidates with speciali</w:t>
      </w:r>
      <w:r w:rsidR="001B6C41">
        <w:rPr>
          <w:lang w:val="en-ZA"/>
        </w:rPr>
        <w:t>s</w:t>
      </w:r>
      <w:r w:rsidRPr="00DD5196">
        <w:rPr>
          <w:lang w:val="en-ZA"/>
        </w:rPr>
        <w:t>ed skills. Individuals with exceptional academic merit or scarce skills that can contribute directly to the institution's strategic goals may be targeted for strategic talent sourcing.</w:t>
      </w:r>
    </w:p>
    <w:p w14:paraId="1DD93C80" w14:textId="77777777" w:rsidR="00DD5196" w:rsidRPr="00DD5196" w:rsidRDefault="00DD5196" w:rsidP="00CA2738">
      <w:pPr>
        <w:rPr>
          <w:lang w:val="en-ZA"/>
        </w:rPr>
      </w:pPr>
    </w:p>
    <w:p w14:paraId="7D2095F4" w14:textId="6BEB3E89" w:rsidR="004A04EA" w:rsidRDefault="00EB0A96" w:rsidP="00CA2738">
      <w:pPr>
        <w:rPr>
          <w:lang w:val="en-ZA"/>
        </w:rPr>
      </w:pPr>
      <w:r>
        <w:rPr>
          <w:lang w:val="en-ZA"/>
        </w:rPr>
        <w:t xml:space="preserve">While appointed, institutions can </w:t>
      </w:r>
      <w:r w:rsidR="00E6273B">
        <w:rPr>
          <w:lang w:val="en-ZA"/>
        </w:rPr>
        <w:t xml:space="preserve">include a range of </w:t>
      </w:r>
      <w:r w:rsidR="00E6273B" w:rsidRPr="002119F7">
        <w:rPr>
          <w:b/>
          <w:bCs/>
          <w:lang w:val="en-ZA"/>
        </w:rPr>
        <w:t xml:space="preserve">benefits, awards, allowances, and </w:t>
      </w:r>
      <w:r w:rsidR="00AE6D05" w:rsidRPr="002119F7">
        <w:rPr>
          <w:b/>
          <w:bCs/>
          <w:lang w:val="en-ZA"/>
        </w:rPr>
        <w:t xml:space="preserve">learning opportunities </w:t>
      </w:r>
      <w:r w:rsidR="00386A88">
        <w:rPr>
          <w:b/>
          <w:bCs/>
          <w:lang w:val="en-ZA"/>
        </w:rPr>
        <w:t xml:space="preserve">with which </w:t>
      </w:r>
      <w:r w:rsidR="00AE6D05" w:rsidRPr="002119F7">
        <w:rPr>
          <w:b/>
          <w:bCs/>
          <w:lang w:val="en-ZA"/>
        </w:rPr>
        <w:t>to develop and retain staff</w:t>
      </w:r>
      <w:r w:rsidR="00AE6D05">
        <w:rPr>
          <w:lang w:val="en-ZA"/>
        </w:rPr>
        <w:t xml:space="preserve">. </w:t>
      </w:r>
      <w:r w:rsidR="002E2FD9" w:rsidRPr="002E2FD9">
        <w:rPr>
          <w:lang w:val="en-ZA"/>
        </w:rPr>
        <w:t xml:space="preserve">Retention strategies in higher education should </w:t>
      </w:r>
      <w:r w:rsidR="00AE6D05">
        <w:rPr>
          <w:lang w:val="en-ZA"/>
        </w:rPr>
        <w:t xml:space="preserve">also </w:t>
      </w:r>
      <w:r w:rsidR="002E2FD9" w:rsidRPr="002E2FD9">
        <w:rPr>
          <w:lang w:val="en-ZA"/>
        </w:rPr>
        <w:t>focus on</w:t>
      </w:r>
      <w:r w:rsidR="00AE6D05">
        <w:rPr>
          <w:lang w:val="en-ZA"/>
        </w:rPr>
        <w:t xml:space="preserve"> </w:t>
      </w:r>
      <w:r w:rsidR="002E2FD9" w:rsidRPr="002E2FD9">
        <w:rPr>
          <w:lang w:val="en-ZA"/>
        </w:rPr>
        <w:t>career progression pathways</w:t>
      </w:r>
      <w:r w:rsidR="00D3444C">
        <w:rPr>
          <w:lang w:val="en-ZA"/>
        </w:rPr>
        <w:t xml:space="preserve">, </w:t>
      </w:r>
      <w:r w:rsidR="00EB57F0">
        <w:rPr>
          <w:lang w:val="en-ZA"/>
        </w:rPr>
        <w:t>leveraging experienced talent to act as mentors</w:t>
      </w:r>
      <w:r w:rsidR="00FA3735">
        <w:rPr>
          <w:lang w:val="en-ZA"/>
        </w:rPr>
        <w:t xml:space="preserve"> and leaders, and providing alternative and flexible </w:t>
      </w:r>
      <w:r w:rsidR="000A4FAF">
        <w:rPr>
          <w:lang w:val="en-ZA"/>
        </w:rPr>
        <w:t>appointment options.</w:t>
      </w:r>
      <w:r w:rsidR="002326D6">
        <w:rPr>
          <w:lang w:val="en-ZA"/>
        </w:rPr>
        <w:t xml:space="preserve"> </w:t>
      </w:r>
    </w:p>
    <w:p w14:paraId="3C5BE6C6" w14:textId="75936039" w:rsidR="00D4275E" w:rsidRDefault="00D4275E" w:rsidP="00EE349A">
      <w:pPr>
        <w:pStyle w:val="Heading2"/>
        <w:rPr>
          <w:lang w:val="en-ZA"/>
        </w:rPr>
      </w:pPr>
      <w:r>
        <w:rPr>
          <w:lang w:val="en-ZA"/>
        </w:rPr>
        <w:t>Conclusion</w:t>
      </w:r>
    </w:p>
    <w:p w14:paraId="2B9526DF" w14:textId="46E6BE66" w:rsidR="00D4275E" w:rsidRDefault="00D4275E" w:rsidP="00CA2738">
      <w:pPr>
        <w:rPr>
          <w:lang w:val="en-ZA"/>
        </w:rPr>
      </w:pPr>
      <w:r w:rsidRPr="00D4275E">
        <w:rPr>
          <w:lang w:val="en-ZA"/>
        </w:rPr>
        <w:t xml:space="preserve">This toolkit offers </w:t>
      </w:r>
      <w:r>
        <w:rPr>
          <w:lang w:val="en-ZA"/>
        </w:rPr>
        <w:t>higher education institutions</w:t>
      </w:r>
      <w:r w:rsidRPr="00D4275E">
        <w:rPr>
          <w:lang w:val="en-ZA"/>
        </w:rPr>
        <w:t xml:space="preserve"> a practical and strategic resource to reflect on and enhance their </w:t>
      </w:r>
      <w:r w:rsidR="00144414">
        <w:rPr>
          <w:lang w:val="en-ZA"/>
        </w:rPr>
        <w:t>HR</w:t>
      </w:r>
      <w:r w:rsidRPr="00D4275E">
        <w:rPr>
          <w:lang w:val="en-ZA"/>
        </w:rPr>
        <w:t xml:space="preserve"> practices. Through a combination of templates, guidance materials, and a self-assessment survey, </w:t>
      </w:r>
      <w:r w:rsidR="00386A88">
        <w:rPr>
          <w:lang w:val="en-ZA"/>
        </w:rPr>
        <w:t>the toolkit</w:t>
      </w:r>
      <w:r w:rsidRPr="00D4275E">
        <w:rPr>
          <w:lang w:val="en-ZA"/>
        </w:rPr>
        <w:t xml:space="preserve"> facilitates meaningful internal dialogue and supports evidence-based decision</w:t>
      </w:r>
      <w:r w:rsidR="00386A88">
        <w:rPr>
          <w:lang w:val="en-ZA"/>
        </w:rPr>
        <w:t xml:space="preserve"> </w:t>
      </w:r>
      <w:r w:rsidRPr="00D4275E">
        <w:rPr>
          <w:lang w:val="en-ZA"/>
        </w:rPr>
        <w:t xml:space="preserve">making. </w:t>
      </w:r>
      <w:r w:rsidR="00386A88">
        <w:rPr>
          <w:lang w:val="en-ZA"/>
        </w:rPr>
        <w:t>Through its use</w:t>
      </w:r>
      <w:r w:rsidRPr="00D4275E">
        <w:rPr>
          <w:lang w:val="en-ZA"/>
        </w:rPr>
        <w:t xml:space="preserve">, institutions can benefit from increased clarity around HR priorities, improved alignment between HR functions and institutional goals, and a stronger foundation for long-term planning. Additionally, the toolkit encourages a culture of continuous improvement, helping universities </w:t>
      </w:r>
      <w:r w:rsidR="00386A88">
        <w:rPr>
          <w:lang w:val="en-ZA"/>
        </w:rPr>
        <w:t xml:space="preserve">to </w:t>
      </w:r>
      <w:r w:rsidRPr="00D4275E">
        <w:rPr>
          <w:lang w:val="en-ZA"/>
        </w:rPr>
        <w:t>foster more inclusive, responsive, and effective HR practices that support the wellbeing and development of their staff.</w:t>
      </w:r>
    </w:p>
    <w:p w14:paraId="73446BB8" w14:textId="22E5768B" w:rsidR="002620B1" w:rsidRDefault="002620B1">
      <w:pPr>
        <w:spacing w:after="200" w:line="276" w:lineRule="auto"/>
        <w:jc w:val="left"/>
        <w:rPr>
          <w:lang w:val="en-ZA"/>
        </w:rPr>
      </w:pPr>
      <w:r>
        <w:rPr>
          <w:lang w:val="en-ZA"/>
        </w:rPr>
        <w:br w:type="page"/>
      </w:r>
    </w:p>
    <w:p w14:paraId="534B2A68" w14:textId="6ED12102" w:rsidR="00CF3DE7" w:rsidRDefault="006556FF" w:rsidP="002326D6">
      <w:pPr>
        <w:pStyle w:val="Heading1"/>
      </w:pPr>
      <w:r>
        <w:lastRenderedPageBreak/>
        <w:t xml:space="preserve">List of </w:t>
      </w:r>
      <w:r w:rsidRPr="002326D6">
        <w:t>resources</w:t>
      </w:r>
      <w:r>
        <w:t xml:space="preserve"> </w:t>
      </w:r>
    </w:p>
    <w:p w14:paraId="66B3F589" w14:textId="1D147D87" w:rsidR="00CF3DE7" w:rsidRDefault="00EE668F" w:rsidP="002326D6">
      <w:pPr>
        <w:pStyle w:val="Heading3"/>
        <w:numPr>
          <w:ilvl w:val="0"/>
          <w:numId w:val="0"/>
        </w:numPr>
      </w:pPr>
      <w:r>
        <w:t>Open</w:t>
      </w:r>
      <w:r w:rsidR="00FC36AB">
        <w:t>ly licen</w:t>
      </w:r>
      <w:r w:rsidR="00AB1567">
        <w:t>s</w:t>
      </w:r>
      <w:r w:rsidR="00FC36AB">
        <w:t>ed</w:t>
      </w:r>
      <w:r>
        <w:t xml:space="preserve"> </w:t>
      </w:r>
      <w:r w:rsidR="00FC36AB">
        <w:t xml:space="preserve">sources </w:t>
      </w:r>
      <w:r>
        <w:t>on human resource</w:t>
      </w:r>
      <w:r w:rsidR="008E5295">
        <w:t xml:space="preserve"> management</w:t>
      </w:r>
    </w:p>
    <w:p w14:paraId="6970F394" w14:textId="747E4917" w:rsidR="004D614E" w:rsidRPr="004D614E" w:rsidRDefault="004D614E" w:rsidP="00CA2738">
      <w:pPr>
        <w:ind w:left="720" w:hanging="720"/>
        <w:rPr>
          <w:lang w:val="en-ZA"/>
        </w:rPr>
      </w:pPr>
      <w:r w:rsidRPr="004D614E">
        <w:rPr>
          <w:lang w:val="en-ZA"/>
        </w:rPr>
        <w:t>Alice Vilas Boas, A. 2024. Human</w:t>
      </w:r>
      <w:r>
        <w:rPr>
          <w:lang w:val="en-ZA"/>
        </w:rPr>
        <w:t xml:space="preserve"> resource management: An update. </w:t>
      </w:r>
      <w:proofErr w:type="spellStart"/>
      <w:r w:rsidR="00910B7F">
        <w:rPr>
          <w:lang w:val="en-ZA"/>
        </w:rPr>
        <w:t>IntechOpen</w:t>
      </w:r>
      <w:proofErr w:type="spellEnd"/>
      <w:r w:rsidR="00910B7F">
        <w:rPr>
          <w:lang w:val="en-ZA"/>
        </w:rPr>
        <w:t xml:space="preserve">. </w:t>
      </w:r>
      <w:hyperlink r:id="rId25" w:history="1">
        <w:r w:rsidR="00910B7F" w:rsidRPr="00910B7F">
          <w:rPr>
            <w:rStyle w:val="Hyperlink"/>
          </w:rPr>
          <w:t>Human Resource Management - An Update</w:t>
        </w:r>
      </w:hyperlink>
      <w:r w:rsidR="00910B7F">
        <w:rPr>
          <w:lang w:val="en-ZA"/>
        </w:rPr>
        <w:t xml:space="preserve"> </w:t>
      </w:r>
    </w:p>
    <w:p w14:paraId="330C2ACA" w14:textId="48654FA0" w:rsidR="00EE668F" w:rsidRDefault="0001301D" w:rsidP="00CA2738">
      <w:pPr>
        <w:ind w:left="720" w:hanging="720"/>
      </w:pPr>
      <w:r w:rsidRPr="003F252E">
        <w:rPr>
          <w:lang w:val="en-ZA"/>
        </w:rPr>
        <w:t xml:space="preserve">Banyai, T. 2019. </w:t>
      </w:r>
      <w:r w:rsidRPr="00996F51">
        <w:rPr>
          <w:lang w:val="en-ZA"/>
        </w:rPr>
        <w:t xml:space="preserve">Sustainable human resource management. </w:t>
      </w:r>
      <w:r w:rsidR="00996F51" w:rsidRPr="00996F51">
        <w:rPr>
          <w:lang w:val="en-ZA"/>
        </w:rPr>
        <w:t>M</w:t>
      </w:r>
      <w:r w:rsidR="00996F51">
        <w:rPr>
          <w:lang w:val="en-ZA"/>
        </w:rPr>
        <w:t xml:space="preserve">DPI. </w:t>
      </w:r>
      <w:hyperlink r:id="rId26" w:history="1">
        <w:r w:rsidR="00996F51" w:rsidRPr="00996F51">
          <w:rPr>
            <w:rStyle w:val="Hyperlink"/>
          </w:rPr>
          <w:t>Sustainable Human Resource Management | MDPI Books</w:t>
        </w:r>
      </w:hyperlink>
      <w:r w:rsidR="003043FE">
        <w:t xml:space="preserve"> </w:t>
      </w:r>
    </w:p>
    <w:p w14:paraId="4AB8DCD2" w14:textId="47D3989F" w:rsidR="003F5BC2" w:rsidRDefault="003F5BC2" w:rsidP="00CA2738">
      <w:pPr>
        <w:ind w:left="720" w:hanging="720"/>
        <w:rPr>
          <w:lang w:val="en-ZA"/>
        </w:rPr>
      </w:pPr>
      <w:r w:rsidRPr="004D614E">
        <w:rPr>
          <w:lang w:val="en-ZA"/>
        </w:rPr>
        <w:t>Boas, A.</w:t>
      </w:r>
      <w:r>
        <w:rPr>
          <w:lang w:val="en-ZA"/>
        </w:rPr>
        <w:t xml:space="preserve"> A. V.</w:t>
      </w:r>
      <w:r w:rsidRPr="004D614E">
        <w:rPr>
          <w:lang w:val="en-ZA"/>
        </w:rPr>
        <w:t xml:space="preserve"> 2024. Human</w:t>
      </w:r>
      <w:r>
        <w:rPr>
          <w:lang w:val="en-ZA"/>
        </w:rPr>
        <w:t xml:space="preserve"> resource management: An update. </w:t>
      </w:r>
      <w:proofErr w:type="spellStart"/>
      <w:r>
        <w:rPr>
          <w:lang w:val="en-ZA"/>
        </w:rPr>
        <w:t>IntechOpen</w:t>
      </w:r>
      <w:proofErr w:type="spellEnd"/>
      <w:r>
        <w:rPr>
          <w:lang w:val="en-ZA"/>
        </w:rPr>
        <w:t xml:space="preserve">. </w:t>
      </w:r>
      <w:hyperlink r:id="rId27" w:history="1">
        <w:r w:rsidRPr="00910B7F">
          <w:rPr>
            <w:rStyle w:val="Hyperlink"/>
          </w:rPr>
          <w:t>Human Resource Management - An Update</w:t>
        </w:r>
      </w:hyperlink>
      <w:r w:rsidR="003043FE">
        <w:t xml:space="preserve"> </w:t>
      </w:r>
    </w:p>
    <w:p w14:paraId="40CA2BA3" w14:textId="39B5CC89" w:rsidR="00475DA3" w:rsidRPr="00BB7D7D" w:rsidRDefault="00475DA3" w:rsidP="00CA2738">
      <w:pPr>
        <w:ind w:left="720" w:hanging="720"/>
        <w:rPr>
          <w:lang w:val="en-ZA"/>
        </w:rPr>
      </w:pPr>
      <w:r w:rsidRPr="00BB7D7D">
        <w:rPr>
          <w:lang w:val="en-ZA"/>
        </w:rPr>
        <w:t>European Union. 202</w:t>
      </w:r>
      <w:r w:rsidR="00BB7D7D" w:rsidRPr="00BB7D7D">
        <w:rPr>
          <w:lang w:val="en-ZA"/>
        </w:rPr>
        <w:t>5. Toolkit o</w:t>
      </w:r>
      <w:r w:rsidR="00BB7D7D">
        <w:rPr>
          <w:lang w:val="en-ZA"/>
        </w:rPr>
        <w:t xml:space="preserve">n enhancing transparency and accountability in human resource management for higher education institutions. </w:t>
      </w:r>
      <w:hyperlink r:id="rId28" w:history="1">
        <w:r w:rsidR="00BB7D7D" w:rsidRPr="00BB7D7D">
          <w:rPr>
            <w:rStyle w:val="Hyperlink"/>
          </w:rPr>
          <w:t>TOOLKIT Transparency and Accountability in Human Resource Management for Higher Education Institutions</w:t>
        </w:r>
      </w:hyperlink>
      <w:r w:rsidR="00BB7D7D">
        <w:rPr>
          <w:lang w:val="en-ZA"/>
        </w:rPr>
        <w:t xml:space="preserve"> </w:t>
      </w:r>
    </w:p>
    <w:p w14:paraId="73E4DBF8" w14:textId="072729EB" w:rsidR="006110B0" w:rsidRPr="00996F51" w:rsidRDefault="006110B0" w:rsidP="00CA2738">
      <w:pPr>
        <w:ind w:left="720" w:hanging="720"/>
        <w:rPr>
          <w:lang w:val="en-ZA"/>
        </w:rPr>
      </w:pPr>
      <w:r w:rsidRPr="00BB7D7D">
        <w:rPr>
          <w:lang w:val="en-ZA"/>
        </w:rPr>
        <w:t>Fahed-</w:t>
      </w:r>
      <w:proofErr w:type="spellStart"/>
      <w:r w:rsidRPr="00BB7D7D">
        <w:rPr>
          <w:lang w:val="en-ZA"/>
        </w:rPr>
        <w:t>Sreih</w:t>
      </w:r>
      <w:proofErr w:type="spellEnd"/>
      <w:r w:rsidRPr="00BB7D7D">
        <w:rPr>
          <w:lang w:val="en-ZA"/>
        </w:rPr>
        <w:t>, J.</w:t>
      </w:r>
      <w:r w:rsidR="00BC58C4" w:rsidRPr="00BB7D7D">
        <w:rPr>
          <w:lang w:val="en-ZA"/>
        </w:rPr>
        <w:t xml:space="preserve"> 2018. </w:t>
      </w:r>
      <w:r w:rsidR="00BC58C4">
        <w:rPr>
          <w:lang w:val="en-ZA"/>
        </w:rPr>
        <w:t>Human resource planning for the 21</w:t>
      </w:r>
      <w:r w:rsidR="00BC58C4" w:rsidRPr="00BC58C4">
        <w:rPr>
          <w:vertAlign w:val="superscript"/>
          <w:lang w:val="en-ZA"/>
        </w:rPr>
        <w:t>st</w:t>
      </w:r>
      <w:r w:rsidR="00BC58C4">
        <w:rPr>
          <w:lang w:val="en-ZA"/>
        </w:rPr>
        <w:t xml:space="preserve"> century</w:t>
      </w:r>
      <w:r w:rsidR="000E023B">
        <w:rPr>
          <w:lang w:val="en-ZA"/>
        </w:rPr>
        <w:t xml:space="preserve">. </w:t>
      </w:r>
      <w:proofErr w:type="spellStart"/>
      <w:r w:rsidR="000E023B">
        <w:rPr>
          <w:lang w:val="en-ZA"/>
        </w:rPr>
        <w:t>IntechOpen</w:t>
      </w:r>
      <w:proofErr w:type="spellEnd"/>
      <w:r w:rsidR="000E023B">
        <w:rPr>
          <w:lang w:val="en-ZA"/>
        </w:rPr>
        <w:t xml:space="preserve">. </w:t>
      </w:r>
      <w:hyperlink r:id="rId29" w:history="1">
        <w:r w:rsidR="000E023B" w:rsidRPr="000E023B">
          <w:rPr>
            <w:rStyle w:val="Hyperlink"/>
          </w:rPr>
          <w:t>Human Resource Planning for the 21st Century</w:t>
        </w:r>
      </w:hyperlink>
      <w:r w:rsidR="000E023B">
        <w:rPr>
          <w:lang w:val="en-ZA"/>
        </w:rPr>
        <w:t xml:space="preserve"> </w:t>
      </w:r>
    </w:p>
    <w:p w14:paraId="7F30C14C" w14:textId="78360416" w:rsidR="00214DD8" w:rsidRDefault="00DB76D5" w:rsidP="00CA2738">
      <w:pPr>
        <w:ind w:left="720" w:hanging="720"/>
        <w:rPr>
          <w:lang w:val="en-ZA"/>
        </w:rPr>
      </w:pPr>
      <w:proofErr w:type="spellStart"/>
      <w:r w:rsidRPr="003F252E">
        <w:rPr>
          <w:lang w:val="en-ZA"/>
        </w:rPr>
        <w:t>LibreText</w:t>
      </w:r>
      <w:proofErr w:type="spellEnd"/>
      <w:r w:rsidRPr="003F252E">
        <w:rPr>
          <w:lang w:val="en-ZA"/>
        </w:rPr>
        <w:t xml:space="preserve">. </w:t>
      </w:r>
      <w:r>
        <w:rPr>
          <w:lang w:val="en-ZA"/>
        </w:rPr>
        <w:t xml:space="preserve">2025. Beginning management of human resources. </w:t>
      </w:r>
      <w:hyperlink r:id="rId30" w:history="1">
        <w:r w:rsidRPr="00292B72">
          <w:rPr>
            <w:rStyle w:val="Hyperlink"/>
            <w:lang w:val="en-ZA"/>
          </w:rPr>
          <w:t>https://biz.libretexts.org/Bookshelves/Management/Beginning_Management_of_Human_Resources</w:t>
        </w:r>
      </w:hyperlink>
      <w:r>
        <w:rPr>
          <w:lang w:val="en-ZA"/>
        </w:rPr>
        <w:t xml:space="preserve"> </w:t>
      </w:r>
    </w:p>
    <w:p w14:paraId="529AE373" w14:textId="2CDE9301" w:rsidR="00CF3DE7" w:rsidRDefault="00E70BCD" w:rsidP="00CA2738">
      <w:pPr>
        <w:ind w:left="720" w:hanging="720"/>
        <w:rPr>
          <w:lang w:val="en-ZA"/>
        </w:rPr>
      </w:pPr>
      <w:r>
        <w:rPr>
          <w:lang w:val="en-ZA"/>
        </w:rPr>
        <w:t xml:space="preserve">Mura, L. 2017. Issues of human resource management. </w:t>
      </w:r>
      <w:proofErr w:type="spellStart"/>
      <w:r>
        <w:rPr>
          <w:lang w:val="en-ZA"/>
        </w:rPr>
        <w:t>IntechOpen</w:t>
      </w:r>
      <w:proofErr w:type="spellEnd"/>
      <w:r>
        <w:rPr>
          <w:lang w:val="en-ZA"/>
        </w:rPr>
        <w:t xml:space="preserve">. </w:t>
      </w:r>
      <w:hyperlink r:id="rId31" w:history="1">
        <w:r w:rsidR="001D64B4" w:rsidRPr="001D64B4">
          <w:rPr>
            <w:rStyle w:val="Hyperlink"/>
          </w:rPr>
          <w:t>Issues of Human Resource Management</w:t>
        </w:r>
      </w:hyperlink>
      <w:r w:rsidR="001D64B4">
        <w:rPr>
          <w:lang w:val="en-ZA"/>
        </w:rPr>
        <w:t xml:space="preserve"> </w:t>
      </w:r>
    </w:p>
    <w:p w14:paraId="4DCD6EC1" w14:textId="0EAACD59" w:rsidR="007204FD" w:rsidRPr="00683845" w:rsidRDefault="007204FD" w:rsidP="00CA2738">
      <w:pPr>
        <w:ind w:left="720" w:hanging="720"/>
        <w:rPr>
          <w:lang w:val="en-ZA"/>
        </w:rPr>
      </w:pPr>
      <w:r>
        <w:rPr>
          <w:lang w:val="en-ZA"/>
        </w:rPr>
        <w:t>Patterson, D. 2023. Human resources management. 3</w:t>
      </w:r>
      <w:r w:rsidRPr="003478E0">
        <w:rPr>
          <w:vertAlign w:val="superscript"/>
          <w:lang w:val="en-ZA"/>
        </w:rPr>
        <w:t>rd</w:t>
      </w:r>
      <w:r>
        <w:rPr>
          <w:lang w:val="en-ZA"/>
        </w:rPr>
        <w:t xml:space="preserve"> ed. Fanshawe Open. </w:t>
      </w:r>
      <w:hyperlink r:id="rId32" w:history="1">
        <w:r w:rsidRPr="00683845">
          <w:rPr>
            <w:rStyle w:val="Hyperlink"/>
            <w:lang w:val="en-ZA"/>
          </w:rPr>
          <w:t>https://ecampusontario.pressbooks.pub/humanresourcesmgmt/</w:t>
        </w:r>
      </w:hyperlink>
      <w:r w:rsidRPr="00683845">
        <w:rPr>
          <w:lang w:val="en-ZA"/>
        </w:rPr>
        <w:t xml:space="preserve"> </w:t>
      </w:r>
    </w:p>
    <w:p w14:paraId="4D734BFA" w14:textId="793163BF" w:rsidR="00CF3DE7" w:rsidRDefault="00FE47A0" w:rsidP="00CA2738">
      <w:pPr>
        <w:ind w:left="720" w:hanging="720"/>
        <w:rPr>
          <w:lang w:val="en-ZA"/>
        </w:rPr>
      </w:pPr>
      <w:r w:rsidRPr="00683845">
        <w:rPr>
          <w:lang w:val="en-ZA"/>
        </w:rPr>
        <w:t>S</w:t>
      </w:r>
      <w:r w:rsidR="00AB1567">
        <w:rPr>
          <w:lang w:val="en-ZA"/>
        </w:rPr>
        <w:t>á</w:t>
      </w:r>
      <w:r w:rsidRPr="00683845">
        <w:rPr>
          <w:lang w:val="en-ZA"/>
        </w:rPr>
        <w:t>nchez</w:t>
      </w:r>
      <w:r w:rsidR="00AB1567">
        <w:rPr>
          <w:lang w:val="en-ZA"/>
        </w:rPr>
        <w:t xml:space="preserve"> </w:t>
      </w:r>
      <w:proofErr w:type="spellStart"/>
      <w:r w:rsidRPr="00683845">
        <w:rPr>
          <w:lang w:val="en-ZA"/>
        </w:rPr>
        <w:t>Gardey</w:t>
      </w:r>
      <w:proofErr w:type="spellEnd"/>
      <w:r w:rsidRPr="00683845">
        <w:rPr>
          <w:lang w:val="en-ZA"/>
        </w:rPr>
        <w:t>, G., Mart</w:t>
      </w:r>
      <w:r w:rsidR="00AB1567">
        <w:rPr>
          <w:lang w:val="en-ZA"/>
        </w:rPr>
        <w:t>í</w:t>
      </w:r>
      <w:r w:rsidRPr="00683845">
        <w:rPr>
          <w:lang w:val="en-ZA"/>
        </w:rPr>
        <w:t>n-</w:t>
      </w:r>
      <w:proofErr w:type="spellStart"/>
      <w:r w:rsidRPr="00683845">
        <w:rPr>
          <w:lang w:val="en-ZA"/>
        </w:rPr>
        <w:t>Alc</w:t>
      </w:r>
      <w:r w:rsidR="00AB1567">
        <w:rPr>
          <w:lang w:val="en-ZA"/>
        </w:rPr>
        <w:t>á</w:t>
      </w:r>
      <w:r w:rsidRPr="00683845">
        <w:rPr>
          <w:lang w:val="en-ZA"/>
        </w:rPr>
        <w:t>zar</w:t>
      </w:r>
      <w:proofErr w:type="spellEnd"/>
      <w:r w:rsidRPr="00683845">
        <w:rPr>
          <w:lang w:val="en-ZA"/>
        </w:rPr>
        <w:t>, F., &amp; Garc</w:t>
      </w:r>
      <w:r w:rsidR="00AB1567">
        <w:rPr>
          <w:lang w:val="en-ZA"/>
        </w:rPr>
        <w:t>í</w:t>
      </w:r>
      <w:r w:rsidRPr="00683845">
        <w:rPr>
          <w:lang w:val="en-ZA"/>
        </w:rPr>
        <w:t xml:space="preserve">a-Carbonell, N. 2021. </w:t>
      </w:r>
      <w:r w:rsidRPr="00FE47A0">
        <w:rPr>
          <w:lang w:val="en-ZA"/>
        </w:rPr>
        <w:t>B</w:t>
      </w:r>
      <w:r>
        <w:rPr>
          <w:lang w:val="en-ZA"/>
        </w:rPr>
        <w:t xml:space="preserve">eyond human resources: Research paths towards a new understanding of </w:t>
      </w:r>
      <w:r w:rsidR="004B2293">
        <w:rPr>
          <w:lang w:val="en-ZA"/>
        </w:rPr>
        <w:t xml:space="preserve">workforce management within organizations. </w:t>
      </w:r>
      <w:proofErr w:type="spellStart"/>
      <w:r w:rsidR="004B2293">
        <w:rPr>
          <w:lang w:val="en-ZA"/>
        </w:rPr>
        <w:t>IntechOpen</w:t>
      </w:r>
      <w:proofErr w:type="spellEnd"/>
      <w:r w:rsidR="004B2293">
        <w:rPr>
          <w:lang w:val="en-ZA"/>
        </w:rPr>
        <w:t xml:space="preserve">. </w:t>
      </w:r>
      <w:hyperlink r:id="rId33" w:history="1">
        <w:r w:rsidR="004B2293" w:rsidRPr="004B2293">
          <w:rPr>
            <w:rStyle w:val="Hyperlink"/>
          </w:rPr>
          <w:t>Beyond Human Resources</w:t>
        </w:r>
      </w:hyperlink>
      <w:r w:rsidR="004B2293">
        <w:rPr>
          <w:lang w:val="en-ZA"/>
        </w:rPr>
        <w:t xml:space="preserve"> </w:t>
      </w:r>
    </w:p>
    <w:p w14:paraId="4A9184AC" w14:textId="63C3310B" w:rsidR="001B7485" w:rsidRPr="00A31F7D" w:rsidRDefault="001B7485" w:rsidP="00CA2738">
      <w:pPr>
        <w:ind w:left="720" w:hanging="720"/>
        <w:rPr>
          <w:lang w:val="en-ZA"/>
        </w:rPr>
      </w:pPr>
      <w:r w:rsidRPr="00A31F7D">
        <w:rPr>
          <w:lang w:val="nl-NL"/>
        </w:rPr>
        <w:t>T</w:t>
      </w:r>
      <w:r w:rsidR="00A31F7D" w:rsidRPr="00A31F7D">
        <w:rPr>
          <w:lang w:val="nl-NL"/>
        </w:rPr>
        <w:t>hunnissen, M., &amp; Boselie, P. (eds</w:t>
      </w:r>
      <w:r w:rsidR="00A31F7D">
        <w:rPr>
          <w:lang w:val="nl-NL"/>
        </w:rPr>
        <w:t xml:space="preserve">). 2024. </w:t>
      </w:r>
      <w:r w:rsidR="00A31F7D" w:rsidRPr="00A31F7D">
        <w:rPr>
          <w:lang w:val="en-ZA"/>
        </w:rPr>
        <w:t>Talent management in higher e</w:t>
      </w:r>
      <w:r w:rsidR="00A31F7D">
        <w:rPr>
          <w:lang w:val="en-ZA"/>
        </w:rPr>
        <w:t xml:space="preserve">ducation. </w:t>
      </w:r>
      <w:r w:rsidR="00295878">
        <w:rPr>
          <w:lang w:val="en-ZA"/>
        </w:rPr>
        <w:t xml:space="preserve">Emerald Publishing Ltd. </w:t>
      </w:r>
      <w:hyperlink r:id="rId34" w:history="1">
        <w:r w:rsidR="00295878" w:rsidRPr="00107B8D">
          <w:rPr>
            <w:rStyle w:val="Hyperlink"/>
            <w:lang w:val="en-ZA"/>
          </w:rPr>
          <w:t>https://www.emerald.com/books/oa-edited-volume/16843/Talent-Management-in-Higher-Education</w:t>
        </w:r>
      </w:hyperlink>
      <w:r w:rsidR="00295878">
        <w:rPr>
          <w:lang w:val="en-ZA"/>
        </w:rPr>
        <w:t xml:space="preserve"> </w:t>
      </w:r>
    </w:p>
    <w:p w14:paraId="4927EEC2" w14:textId="4A4B8B0D" w:rsidR="00700493" w:rsidRDefault="00CF0D8A" w:rsidP="002326D6">
      <w:pPr>
        <w:pStyle w:val="Heading2"/>
        <w:numPr>
          <w:ilvl w:val="0"/>
          <w:numId w:val="0"/>
        </w:numPr>
      </w:pPr>
      <w:r>
        <w:t>(Hig</w:t>
      </w:r>
      <w:r w:rsidR="002326D6">
        <w:t>h</w:t>
      </w:r>
      <w:r>
        <w:t>er education) h</w:t>
      </w:r>
      <w:r w:rsidR="001C7A93">
        <w:t>uman resource</w:t>
      </w:r>
      <w:r>
        <w:t xml:space="preserve"> </w:t>
      </w:r>
      <w:r w:rsidR="001C7A93">
        <w:t>associations and</w:t>
      </w:r>
      <w:r w:rsidR="00A0065A">
        <w:t xml:space="preserve"> communities of practice</w:t>
      </w:r>
    </w:p>
    <w:p w14:paraId="658C89AD" w14:textId="3BB45FEF" w:rsidR="002D6AF0" w:rsidRDefault="002D6AF0" w:rsidP="00D80C1E">
      <w:pPr>
        <w:pStyle w:val="ListParagraph"/>
        <w:numPr>
          <w:ilvl w:val="0"/>
          <w:numId w:val="16"/>
        </w:numPr>
        <w:jc w:val="left"/>
        <w:rPr>
          <w:lang w:val="en-ZA"/>
        </w:rPr>
      </w:pPr>
      <w:r>
        <w:rPr>
          <w:lang w:val="en-ZA"/>
        </w:rPr>
        <w:t xml:space="preserve">Association for Talent Development: </w:t>
      </w:r>
      <w:hyperlink r:id="rId35" w:history="1">
        <w:r w:rsidRPr="00292B72">
          <w:rPr>
            <w:rStyle w:val="Hyperlink"/>
            <w:lang w:val="en-ZA"/>
          </w:rPr>
          <w:t>https://www.td.org/</w:t>
        </w:r>
      </w:hyperlink>
      <w:r>
        <w:rPr>
          <w:lang w:val="en-ZA"/>
        </w:rPr>
        <w:t xml:space="preserve"> </w:t>
      </w:r>
    </w:p>
    <w:p w14:paraId="60C3B929" w14:textId="31EA6006" w:rsidR="0031060F" w:rsidRDefault="0031060F" w:rsidP="00D80C1E">
      <w:pPr>
        <w:pStyle w:val="ListParagraph"/>
        <w:numPr>
          <w:ilvl w:val="0"/>
          <w:numId w:val="16"/>
        </w:numPr>
        <w:jc w:val="left"/>
        <w:rPr>
          <w:lang w:val="en-ZA"/>
        </w:rPr>
      </w:pPr>
      <w:r>
        <w:rPr>
          <w:lang w:val="en-ZA"/>
        </w:rPr>
        <w:t xml:space="preserve">Association of African Universities: </w:t>
      </w:r>
      <w:hyperlink r:id="rId36" w:history="1">
        <w:r w:rsidR="00FB107D" w:rsidRPr="00292B72">
          <w:rPr>
            <w:rStyle w:val="Hyperlink"/>
            <w:lang w:val="en-ZA"/>
          </w:rPr>
          <w:t>https://aau.org/</w:t>
        </w:r>
      </w:hyperlink>
      <w:r w:rsidR="00FB107D">
        <w:rPr>
          <w:lang w:val="en-ZA"/>
        </w:rPr>
        <w:t xml:space="preserve"> </w:t>
      </w:r>
    </w:p>
    <w:p w14:paraId="6834B4BA" w14:textId="30442B12" w:rsidR="00FD0F28" w:rsidRDefault="00FD0F28" w:rsidP="00D80C1E">
      <w:pPr>
        <w:pStyle w:val="ListParagraph"/>
        <w:numPr>
          <w:ilvl w:val="0"/>
          <w:numId w:val="16"/>
        </w:numPr>
        <w:jc w:val="left"/>
        <w:rPr>
          <w:lang w:val="en-ZA"/>
        </w:rPr>
      </w:pPr>
      <w:r>
        <w:rPr>
          <w:lang w:val="en-ZA"/>
        </w:rPr>
        <w:t xml:space="preserve">Association of Commonwealth Universities HR in HE community: </w:t>
      </w:r>
      <w:hyperlink r:id="rId37" w:history="1">
        <w:r w:rsidRPr="00292B72">
          <w:rPr>
            <w:rStyle w:val="Hyperlink"/>
            <w:lang w:val="en-ZA"/>
          </w:rPr>
          <w:t>https://www.acu.ac.uk/members/networks-and-communities/hr-in-he-community/</w:t>
        </w:r>
      </w:hyperlink>
      <w:r>
        <w:rPr>
          <w:lang w:val="en-ZA"/>
        </w:rPr>
        <w:t xml:space="preserve"> </w:t>
      </w:r>
    </w:p>
    <w:p w14:paraId="6269C730" w14:textId="35E32198" w:rsidR="001C7A93" w:rsidRDefault="00DA4E9F" w:rsidP="00D80C1E">
      <w:pPr>
        <w:pStyle w:val="ListParagraph"/>
        <w:numPr>
          <w:ilvl w:val="0"/>
          <w:numId w:val="16"/>
        </w:numPr>
        <w:jc w:val="left"/>
        <w:rPr>
          <w:lang w:val="en-ZA"/>
        </w:rPr>
      </w:pPr>
      <w:r>
        <w:rPr>
          <w:lang w:val="en-ZA"/>
        </w:rPr>
        <w:t xml:space="preserve">College and University Professional Association for Human Resources: </w:t>
      </w:r>
      <w:hyperlink r:id="rId38" w:history="1">
        <w:r w:rsidR="00A947F6" w:rsidRPr="00292B72">
          <w:rPr>
            <w:rStyle w:val="Hyperlink"/>
            <w:lang w:val="en-ZA"/>
          </w:rPr>
          <w:t>https://www.cupahr.org/</w:t>
        </w:r>
      </w:hyperlink>
      <w:r w:rsidR="00A947F6">
        <w:rPr>
          <w:lang w:val="en-ZA"/>
        </w:rPr>
        <w:t xml:space="preserve"> </w:t>
      </w:r>
    </w:p>
    <w:p w14:paraId="546103A0" w14:textId="22C47868" w:rsidR="005B4EF8" w:rsidRPr="005B4EF8" w:rsidRDefault="005B4EF8" w:rsidP="00D80C1E">
      <w:pPr>
        <w:pStyle w:val="ListParagraph"/>
        <w:numPr>
          <w:ilvl w:val="0"/>
          <w:numId w:val="16"/>
        </w:numPr>
        <w:jc w:val="left"/>
        <w:rPr>
          <w:lang w:val="en-ZA"/>
        </w:rPr>
      </w:pPr>
      <w:r w:rsidRPr="005B4EF8">
        <w:rPr>
          <w:lang w:val="en-ZA"/>
        </w:rPr>
        <w:t>International Association for Human</w:t>
      </w:r>
      <w:r>
        <w:rPr>
          <w:lang w:val="en-ZA"/>
        </w:rPr>
        <w:t xml:space="preserve"> </w:t>
      </w:r>
      <w:r w:rsidRPr="005B4EF8">
        <w:rPr>
          <w:lang w:val="en-ZA"/>
        </w:rPr>
        <w:t>Resource Information Management</w:t>
      </w:r>
      <w:r>
        <w:rPr>
          <w:lang w:val="en-ZA"/>
        </w:rPr>
        <w:t xml:space="preserve">: </w:t>
      </w:r>
      <w:hyperlink r:id="rId39" w:history="1">
        <w:r w:rsidR="006556B5" w:rsidRPr="00292B72">
          <w:rPr>
            <w:rStyle w:val="Hyperlink"/>
            <w:lang w:val="en-ZA"/>
          </w:rPr>
          <w:t>https://www.ihrim.org/</w:t>
        </w:r>
      </w:hyperlink>
      <w:r w:rsidR="006556B5">
        <w:rPr>
          <w:lang w:val="en-ZA"/>
        </w:rPr>
        <w:t xml:space="preserve"> </w:t>
      </w:r>
    </w:p>
    <w:p w14:paraId="19F5FE72" w14:textId="397EB073" w:rsidR="002D6AF0" w:rsidRDefault="002D6AF0" w:rsidP="00D80C1E">
      <w:pPr>
        <w:pStyle w:val="ListParagraph"/>
        <w:numPr>
          <w:ilvl w:val="0"/>
          <w:numId w:val="16"/>
        </w:numPr>
        <w:jc w:val="left"/>
        <w:rPr>
          <w:lang w:val="en-ZA"/>
        </w:rPr>
      </w:pPr>
      <w:r>
        <w:rPr>
          <w:lang w:val="en-ZA"/>
        </w:rPr>
        <w:t xml:space="preserve">Society for Higher Education Human Resources Executives: </w:t>
      </w:r>
      <w:hyperlink r:id="rId40" w:history="1">
        <w:r w:rsidRPr="00292B72">
          <w:rPr>
            <w:rStyle w:val="Hyperlink"/>
            <w:lang w:val="en-ZA"/>
          </w:rPr>
          <w:t>https://shehre.net/</w:t>
        </w:r>
      </w:hyperlink>
      <w:r>
        <w:rPr>
          <w:lang w:val="en-ZA"/>
        </w:rPr>
        <w:t xml:space="preserve"> </w:t>
      </w:r>
    </w:p>
    <w:p w14:paraId="042A59AB" w14:textId="3A52ACA8" w:rsidR="00A26B94" w:rsidRDefault="00A26B94" w:rsidP="00D80C1E">
      <w:pPr>
        <w:pStyle w:val="ListParagraph"/>
        <w:numPr>
          <w:ilvl w:val="0"/>
          <w:numId w:val="16"/>
        </w:numPr>
        <w:jc w:val="left"/>
        <w:rPr>
          <w:lang w:val="en-ZA"/>
        </w:rPr>
      </w:pPr>
      <w:r>
        <w:rPr>
          <w:lang w:val="en-ZA"/>
        </w:rPr>
        <w:t xml:space="preserve">Society for Human Resources Management: </w:t>
      </w:r>
      <w:hyperlink r:id="rId41" w:history="1">
        <w:r w:rsidRPr="00292B72">
          <w:rPr>
            <w:rStyle w:val="Hyperlink"/>
            <w:lang w:val="en-ZA"/>
          </w:rPr>
          <w:t>https://www.shrm.org/home</w:t>
        </w:r>
      </w:hyperlink>
      <w:r>
        <w:rPr>
          <w:lang w:val="en-ZA"/>
        </w:rPr>
        <w:t xml:space="preserve"> </w:t>
      </w:r>
    </w:p>
    <w:p w14:paraId="19E7B4A6" w14:textId="791D9BDA" w:rsidR="00CF0D8A" w:rsidRDefault="00A947F6" w:rsidP="00D80C1E">
      <w:pPr>
        <w:pStyle w:val="ListParagraph"/>
        <w:numPr>
          <w:ilvl w:val="0"/>
          <w:numId w:val="16"/>
        </w:numPr>
        <w:jc w:val="left"/>
        <w:rPr>
          <w:lang w:val="en-ZA"/>
        </w:rPr>
      </w:pPr>
      <w:r>
        <w:rPr>
          <w:lang w:val="en-ZA"/>
        </w:rPr>
        <w:t xml:space="preserve">Universities South Africa Human Resource Directors’ Forum: </w:t>
      </w:r>
      <w:hyperlink r:id="rId42" w:history="1">
        <w:r w:rsidR="00A0065A" w:rsidRPr="00292B72">
          <w:rPr>
            <w:rStyle w:val="Hyperlink"/>
            <w:lang w:val="en-ZA"/>
          </w:rPr>
          <w:t>https://usaf.ac.za/communities-of-practice/human-resource-directors-forum/</w:t>
        </w:r>
      </w:hyperlink>
      <w:r w:rsidR="00A0065A">
        <w:rPr>
          <w:lang w:val="en-ZA"/>
        </w:rPr>
        <w:t xml:space="preserve"> </w:t>
      </w:r>
    </w:p>
    <w:p w14:paraId="7EAE25D9" w14:textId="2D75CE03" w:rsidR="00A223ED" w:rsidRDefault="00F10074" w:rsidP="002326D6">
      <w:pPr>
        <w:pStyle w:val="Heading3"/>
        <w:numPr>
          <w:ilvl w:val="0"/>
          <w:numId w:val="0"/>
        </w:numPr>
      </w:pPr>
      <w:r>
        <w:lastRenderedPageBreak/>
        <w:t xml:space="preserve">Examples of </w:t>
      </w:r>
      <w:r w:rsidR="00CB0D47">
        <w:t xml:space="preserve">institutional human resource </w:t>
      </w:r>
      <w:r>
        <w:t>documents</w:t>
      </w:r>
      <w:r w:rsidR="00B378D2">
        <w:t xml:space="preserve"> </w:t>
      </w:r>
    </w:p>
    <w:p w14:paraId="3565081D" w14:textId="5F88E66B" w:rsidR="00F43489" w:rsidRDefault="008D6C02" w:rsidP="00D80C1E">
      <w:pPr>
        <w:pStyle w:val="ListParagraph"/>
        <w:numPr>
          <w:ilvl w:val="0"/>
          <w:numId w:val="17"/>
        </w:numPr>
        <w:jc w:val="left"/>
        <w:rPr>
          <w:lang w:val="en-ZA"/>
        </w:rPr>
      </w:pPr>
      <w:r w:rsidRPr="004924D8">
        <w:rPr>
          <w:b/>
          <w:bCs/>
          <w:lang w:val="en-ZA"/>
        </w:rPr>
        <w:t>Staff handbook</w:t>
      </w:r>
      <w:r w:rsidR="003043FE">
        <w:rPr>
          <w:lang w:val="en-ZA"/>
        </w:rPr>
        <w:t xml:space="preserve"> </w:t>
      </w:r>
      <w:r w:rsidR="003043FE">
        <w:rPr>
          <w:lang w:val="en-ZA"/>
        </w:rPr>
        <w:noBreakHyphen/>
        <w:t xml:space="preserve"> </w:t>
      </w:r>
      <w:r w:rsidR="00F43489">
        <w:rPr>
          <w:lang w:val="en-ZA"/>
        </w:rPr>
        <w:t xml:space="preserve">Landmark University, Nigeria: </w:t>
      </w:r>
      <w:hyperlink r:id="rId43" w:history="1">
        <w:r w:rsidR="00F43489" w:rsidRPr="00292B72">
          <w:rPr>
            <w:rStyle w:val="Hyperlink"/>
            <w:lang w:val="en-ZA"/>
          </w:rPr>
          <w:t>https://www.lmu.edu.ng/XownCMS/assets/documents/staff_handbook.pdf</w:t>
        </w:r>
      </w:hyperlink>
      <w:r w:rsidR="00F43489">
        <w:rPr>
          <w:lang w:val="en-ZA"/>
        </w:rPr>
        <w:t xml:space="preserve"> </w:t>
      </w:r>
    </w:p>
    <w:p w14:paraId="4119C828" w14:textId="600B95C4" w:rsidR="00011783" w:rsidRDefault="00011783" w:rsidP="00D80C1E">
      <w:pPr>
        <w:pStyle w:val="ListParagraph"/>
        <w:numPr>
          <w:ilvl w:val="0"/>
          <w:numId w:val="17"/>
        </w:numPr>
        <w:jc w:val="left"/>
        <w:rPr>
          <w:lang w:val="en-ZA"/>
        </w:rPr>
      </w:pPr>
      <w:r>
        <w:rPr>
          <w:lang w:val="en-ZA"/>
        </w:rPr>
        <w:t xml:space="preserve">The </w:t>
      </w:r>
      <w:r w:rsidRPr="004924D8">
        <w:rPr>
          <w:b/>
          <w:bCs/>
          <w:lang w:val="en-ZA"/>
        </w:rPr>
        <w:t>Open University</w:t>
      </w:r>
      <w:r>
        <w:rPr>
          <w:lang w:val="en-ZA"/>
        </w:rPr>
        <w:t xml:space="preserve"> has an extensive collection of </w:t>
      </w:r>
      <w:r w:rsidR="005775D7">
        <w:rPr>
          <w:lang w:val="en-ZA"/>
        </w:rPr>
        <w:t xml:space="preserve">HR policies, with the added benefit of illustrating how institutional policies </w:t>
      </w:r>
      <w:r w:rsidR="00AA2E5D">
        <w:rPr>
          <w:lang w:val="en-ZA"/>
        </w:rPr>
        <w:t xml:space="preserve">figure </w:t>
      </w:r>
      <w:r w:rsidR="005775D7">
        <w:rPr>
          <w:lang w:val="en-ZA"/>
        </w:rPr>
        <w:t xml:space="preserve">in the context of an open university: </w:t>
      </w:r>
      <w:hyperlink r:id="rId44" w:history="1">
        <w:r w:rsidR="005775D7" w:rsidRPr="00292B72">
          <w:rPr>
            <w:rStyle w:val="Hyperlink"/>
            <w:lang w:val="en-ZA"/>
          </w:rPr>
          <w:t>https://www5.open.ac.uk/foi/main/policies-and-procedures/human-resources</w:t>
        </w:r>
      </w:hyperlink>
      <w:r w:rsidR="005775D7">
        <w:rPr>
          <w:lang w:val="en-ZA"/>
        </w:rPr>
        <w:t xml:space="preserve"> </w:t>
      </w:r>
    </w:p>
    <w:p w14:paraId="780EE993" w14:textId="02E26307" w:rsidR="00B378D2" w:rsidRDefault="00B378D2" w:rsidP="00D80C1E">
      <w:pPr>
        <w:pStyle w:val="ListParagraph"/>
        <w:numPr>
          <w:ilvl w:val="0"/>
          <w:numId w:val="17"/>
        </w:numPr>
        <w:jc w:val="left"/>
        <w:rPr>
          <w:lang w:val="en-ZA"/>
        </w:rPr>
      </w:pPr>
      <w:r>
        <w:rPr>
          <w:lang w:val="en-ZA"/>
        </w:rPr>
        <w:t xml:space="preserve">The </w:t>
      </w:r>
      <w:r w:rsidRPr="004924D8">
        <w:rPr>
          <w:b/>
          <w:bCs/>
          <w:lang w:val="en-ZA"/>
        </w:rPr>
        <w:t>University of Cape Town</w:t>
      </w:r>
      <w:r>
        <w:rPr>
          <w:lang w:val="en-ZA"/>
        </w:rPr>
        <w:t xml:space="preserve"> has </w:t>
      </w:r>
      <w:r w:rsidR="001A4594">
        <w:rPr>
          <w:lang w:val="en-ZA"/>
        </w:rPr>
        <w:t xml:space="preserve">a comprehensive list of HR-related policies that serve as </w:t>
      </w:r>
      <w:r w:rsidR="003043FE">
        <w:rPr>
          <w:lang w:val="en-ZA"/>
        </w:rPr>
        <w:t xml:space="preserve">examples of </w:t>
      </w:r>
      <w:r w:rsidR="001A4594">
        <w:rPr>
          <w:lang w:val="en-ZA"/>
        </w:rPr>
        <w:t>good practice</w:t>
      </w:r>
      <w:r w:rsidR="006844D7">
        <w:rPr>
          <w:lang w:val="en-ZA"/>
        </w:rPr>
        <w:t xml:space="preserve">: </w:t>
      </w:r>
      <w:hyperlink r:id="rId45" w:history="1">
        <w:r w:rsidR="006844D7" w:rsidRPr="00292B72">
          <w:rPr>
            <w:rStyle w:val="Hyperlink"/>
            <w:lang w:val="en-ZA"/>
          </w:rPr>
          <w:t>https://uct.ac.za/administration/policies</w:t>
        </w:r>
      </w:hyperlink>
      <w:r w:rsidR="006844D7">
        <w:rPr>
          <w:lang w:val="en-ZA"/>
        </w:rPr>
        <w:t xml:space="preserve"> </w:t>
      </w:r>
    </w:p>
    <w:p w14:paraId="4D8F120B" w14:textId="1979FDEB" w:rsidR="00F10074" w:rsidRDefault="00790328" w:rsidP="00D80C1E">
      <w:pPr>
        <w:pStyle w:val="ListParagraph"/>
        <w:numPr>
          <w:ilvl w:val="0"/>
          <w:numId w:val="17"/>
        </w:numPr>
        <w:jc w:val="left"/>
        <w:rPr>
          <w:lang w:val="en-ZA"/>
        </w:rPr>
      </w:pPr>
      <w:r>
        <w:rPr>
          <w:lang w:val="en-ZA"/>
        </w:rPr>
        <w:t xml:space="preserve">The University of Edinburgh provides </w:t>
      </w:r>
      <w:proofErr w:type="spellStart"/>
      <w:r w:rsidR="003C3F63" w:rsidRPr="00B73A03">
        <w:rPr>
          <w:b/>
          <w:bCs/>
          <w:lang w:val="en-ZA"/>
        </w:rPr>
        <w:t>CoS</w:t>
      </w:r>
      <w:proofErr w:type="spellEnd"/>
      <w:r w:rsidR="003C3F63" w:rsidRPr="00B73A03">
        <w:rPr>
          <w:b/>
          <w:bCs/>
          <w:lang w:val="en-ZA"/>
        </w:rPr>
        <w:t xml:space="preserve"> documents by appointment type</w:t>
      </w:r>
      <w:r w:rsidR="003C3F63">
        <w:rPr>
          <w:lang w:val="en-ZA"/>
        </w:rPr>
        <w:t xml:space="preserve">: </w:t>
      </w:r>
      <w:hyperlink r:id="rId46" w:history="1">
        <w:r w:rsidR="003C3F63" w:rsidRPr="00292B72">
          <w:rPr>
            <w:rStyle w:val="Hyperlink"/>
            <w:lang w:val="en-ZA"/>
          </w:rPr>
          <w:t>https://human-resources.ed.ac.uk/policies-guidance/conditions-service</w:t>
        </w:r>
      </w:hyperlink>
      <w:r w:rsidR="003C3F63">
        <w:rPr>
          <w:lang w:val="en-ZA"/>
        </w:rPr>
        <w:t xml:space="preserve"> </w:t>
      </w:r>
    </w:p>
    <w:p w14:paraId="55900CC0" w14:textId="58C424FB" w:rsidR="000B00A5" w:rsidRDefault="000B00A5" w:rsidP="00D80C1E">
      <w:pPr>
        <w:pStyle w:val="ListParagraph"/>
        <w:numPr>
          <w:ilvl w:val="0"/>
          <w:numId w:val="17"/>
        </w:numPr>
        <w:jc w:val="left"/>
        <w:rPr>
          <w:lang w:val="en-ZA"/>
        </w:rPr>
      </w:pPr>
      <w:r>
        <w:rPr>
          <w:lang w:val="en-ZA"/>
        </w:rPr>
        <w:t xml:space="preserve">University College London provides an </w:t>
      </w:r>
      <w:r w:rsidRPr="00B73A03">
        <w:rPr>
          <w:b/>
          <w:bCs/>
          <w:lang w:val="en-ZA"/>
        </w:rPr>
        <w:t xml:space="preserve">online </w:t>
      </w:r>
      <w:proofErr w:type="spellStart"/>
      <w:r w:rsidRPr="00B73A03">
        <w:rPr>
          <w:b/>
          <w:bCs/>
          <w:lang w:val="en-ZA"/>
        </w:rPr>
        <w:t>CoS</w:t>
      </w:r>
      <w:proofErr w:type="spellEnd"/>
      <w:r w:rsidRPr="00B73A03">
        <w:rPr>
          <w:b/>
          <w:bCs/>
          <w:lang w:val="en-ZA"/>
        </w:rPr>
        <w:t xml:space="preserve"> document with links to relevant policies</w:t>
      </w:r>
      <w:r>
        <w:rPr>
          <w:lang w:val="en-ZA"/>
        </w:rPr>
        <w:t xml:space="preserve">: </w:t>
      </w:r>
      <w:hyperlink r:id="rId47" w:history="1">
        <w:r w:rsidRPr="00292B72">
          <w:rPr>
            <w:rStyle w:val="Hyperlink"/>
            <w:lang w:val="en-ZA"/>
          </w:rPr>
          <w:t>https://www.ucl.ac.uk/human-resources/ucl-australia-conditions-service-academic-staff</w:t>
        </w:r>
      </w:hyperlink>
      <w:r>
        <w:rPr>
          <w:lang w:val="en-ZA"/>
        </w:rPr>
        <w:t xml:space="preserve"> </w:t>
      </w:r>
    </w:p>
    <w:p w14:paraId="0072A430" w14:textId="54DEFA9B" w:rsidR="00705CEC" w:rsidRDefault="00F603A5" w:rsidP="00D80C1E">
      <w:pPr>
        <w:pStyle w:val="ListParagraph"/>
        <w:numPr>
          <w:ilvl w:val="0"/>
          <w:numId w:val="17"/>
        </w:numPr>
        <w:jc w:val="left"/>
        <w:rPr>
          <w:lang w:val="en-ZA"/>
        </w:rPr>
      </w:pPr>
      <w:r>
        <w:rPr>
          <w:lang w:val="en-ZA"/>
        </w:rPr>
        <w:t xml:space="preserve">Examples of </w:t>
      </w:r>
      <w:r w:rsidRPr="00B73A03">
        <w:rPr>
          <w:b/>
          <w:bCs/>
          <w:lang w:val="en-ZA"/>
        </w:rPr>
        <w:t>competency frameworks</w:t>
      </w:r>
      <w:r>
        <w:rPr>
          <w:lang w:val="en-ZA"/>
        </w:rPr>
        <w:t xml:space="preserve">: </w:t>
      </w:r>
      <w:hyperlink r:id="rId48" w:history="1">
        <w:r w:rsidR="0040026A" w:rsidRPr="00247C47">
          <w:rPr>
            <w:rStyle w:val="Hyperlink"/>
            <w:lang w:val="en-ZA"/>
          </w:rPr>
          <w:t>https://hr.uct.ac.za/sites/default/files/media/documents/hr_uct_ac_za/386/UCT-Competency-Framework-Version5-Jan2021.pdf</w:t>
        </w:r>
      </w:hyperlink>
      <w:r w:rsidR="0040026A">
        <w:rPr>
          <w:lang w:val="en-ZA"/>
        </w:rPr>
        <w:t xml:space="preserve">; </w:t>
      </w:r>
      <w:hyperlink r:id="rId49" w:history="1">
        <w:r w:rsidR="0040026A" w:rsidRPr="00247C47">
          <w:rPr>
            <w:rStyle w:val="Hyperlink"/>
            <w:lang w:val="en-ZA"/>
          </w:rPr>
          <w:t>https://www.london.ac.uk/sites/default/files/governance/Universtiy-of-london-Competency-Model.pdf</w:t>
        </w:r>
      </w:hyperlink>
      <w:r w:rsidR="0040026A">
        <w:rPr>
          <w:lang w:val="en-ZA"/>
        </w:rPr>
        <w:t xml:space="preserve">; </w:t>
      </w:r>
      <w:hyperlink r:id="rId50" w:history="1">
        <w:r w:rsidR="004C7F62" w:rsidRPr="00247C47">
          <w:rPr>
            <w:rStyle w:val="Hyperlink"/>
            <w:lang w:val="en-ZA"/>
          </w:rPr>
          <w:t>https://www.surrey.ac.uk/sites/default/files/competency-framework.pdf</w:t>
        </w:r>
      </w:hyperlink>
      <w:r w:rsidR="002326D6">
        <w:rPr>
          <w:lang w:val="en-ZA"/>
        </w:rPr>
        <w:t xml:space="preserve"> </w:t>
      </w:r>
    </w:p>
    <w:p w14:paraId="27FFCE9B" w14:textId="1AE3C4CE" w:rsidR="00F603A5" w:rsidRDefault="00705CEC" w:rsidP="00D80C1E">
      <w:pPr>
        <w:pStyle w:val="ListParagraph"/>
        <w:numPr>
          <w:ilvl w:val="0"/>
          <w:numId w:val="17"/>
        </w:numPr>
        <w:jc w:val="left"/>
        <w:rPr>
          <w:lang w:val="en-ZA"/>
        </w:rPr>
      </w:pPr>
      <w:r w:rsidRPr="00B73A03">
        <w:rPr>
          <w:b/>
          <w:bCs/>
          <w:lang w:val="en-ZA"/>
        </w:rPr>
        <w:t>OER Africa’s CPD frameworks</w:t>
      </w:r>
      <w:r>
        <w:rPr>
          <w:lang w:val="en-ZA"/>
        </w:rPr>
        <w:t xml:space="preserve">: </w:t>
      </w:r>
      <w:hyperlink r:id="rId51" w:history="1">
        <w:r w:rsidRPr="00191B0C">
          <w:rPr>
            <w:rStyle w:val="Hyperlink"/>
            <w:lang w:val="en-ZA"/>
          </w:rPr>
          <w:t>https://www.oerafrica.org/continuous-professional-development-frameworks</w:t>
        </w:r>
      </w:hyperlink>
      <w:r w:rsidR="002326D6">
        <w:rPr>
          <w:lang w:val="en-ZA"/>
        </w:rPr>
        <w:t xml:space="preserve"> </w:t>
      </w:r>
    </w:p>
    <w:p w14:paraId="23B05FB0" w14:textId="77777777" w:rsidR="00A35F68" w:rsidRDefault="00C93610" w:rsidP="00D80C1E">
      <w:pPr>
        <w:pStyle w:val="ListParagraph"/>
        <w:numPr>
          <w:ilvl w:val="0"/>
          <w:numId w:val="17"/>
        </w:numPr>
        <w:jc w:val="left"/>
        <w:rPr>
          <w:lang w:val="en-ZA"/>
        </w:rPr>
      </w:pPr>
      <w:r>
        <w:rPr>
          <w:lang w:val="en-ZA"/>
        </w:rPr>
        <w:t xml:space="preserve">Examples of </w:t>
      </w:r>
      <w:r w:rsidRPr="00B73A03">
        <w:rPr>
          <w:b/>
          <w:bCs/>
          <w:lang w:val="en-ZA"/>
        </w:rPr>
        <w:t>Code of Conduct</w:t>
      </w:r>
      <w:r>
        <w:rPr>
          <w:lang w:val="en-ZA"/>
        </w:rPr>
        <w:t xml:space="preserve">: </w:t>
      </w:r>
      <w:hyperlink r:id="rId52" w:history="1">
        <w:r w:rsidR="00D04B7D" w:rsidRPr="00191B0C">
          <w:rPr>
            <w:rStyle w:val="Hyperlink"/>
            <w:lang w:val="en-ZA"/>
          </w:rPr>
          <w:t>https://www.notredame.edu.au/__data/assets/pdf_file/0008/2105/Employee-Code-of-Conduct-and-Ethical-Behaviour.pdf</w:t>
        </w:r>
      </w:hyperlink>
      <w:r w:rsidR="00D04B7D">
        <w:rPr>
          <w:lang w:val="en-ZA"/>
        </w:rPr>
        <w:t xml:space="preserve">; </w:t>
      </w:r>
      <w:hyperlink r:id="rId53" w:history="1">
        <w:r w:rsidR="00D64F5C" w:rsidRPr="00191B0C">
          <w:rPr>
            <w:rStyle w:val="Hyperlink"/>
            <w:lang w:val="en-ZA"/>
          </w:rPr>
          <w:t>https://policy.unisq.edu.au/documents/13279PL</w:t>
        </w:r>
      </w:hyperlink>
      <w:r w:rsidR="00D64F5C">
        <w:rPr>
          <w:lang w:val="en-ZA"/>
        </w:rPr>
        <w:t xml:space="preserve">; </w:t>
      </w:r>
      <w:hyperlink r:id="rId54" w:history="1">
        <w:r w:rsidR="00D64F5C" w:rsidRPr="00191B0C">
          <w:rPr>
            <w:rStyle w:val="Hyperlink"/>
            <w:lang w:val="en-ZA"/>
          </w:rPr>
          <w:t>https://www.stithian.com/uploads/files/Information/Code_of_Conduct_for_Staff_-_March_2021.pdf</w:t>
        </w:r>
      </w:hyperlink>
      <w:r w:rsidR="00D64F5C">
        <w:rPr>
          <w:lang w:val="en-ZA"/>
        </w:rPr>
        <w:t xml:space="preserve">; </w:t>
      </w:r>
      <w:hyperlink r:id="rId55" w:history="1">
        <w:r w:rsidR="00A35F68" w:rsidRPr="00191B0C">
          <w:rPr>
            <w:rStyle w:val="Hyperlink"/>
            <w:lang w:val="en-ZA"/>
          </w:rPr>
          <w:t>https://i.unisa.edu.au/siteassets/human-resources/ptc/files/policy-consultation-documents/code-of-conduct.pdf</w:t>
        </w:r>
      </w:hyperlink>
      <w:r w:rsidR="00A35F68">
        <w:rPr>
          <w:lang w:val="en-ZA"/>
        </w:rPr>
        <w:t xml:space="preserve">; </w:t>
      </w:r>
      <w:hyperlink r:id="rId56" w:history="1">
        <w:r w:rsidR="00A35F68" w:rsidRPr="00191B0C">
          <w:rPr>
            <w:rStyle w:val="Hyperlink"/>
            <w:lang w:val="en-ZA"/>
          </w:rPr>
          <w:t>https://www.up.ac.za/media/shared/5/ZP_Files/Policies/code-of-conduct-for-employees.zp136084.pdf</w:t>
        </w:r>
      </w:hyperlink>
      <w:r w:rsidR="00A35F68">
        <w:rPr>
          <w:lang w:val="en-ZA"/>
        </w:rPr>
        <w:t xml:space="preserve"> </w:t>
      </w:r>
    </w:p>
    <w:p w14:paraId="5139F999" w14:textId="10B4649D" w:rsidR="00C93610" w:rsidRDefault="007D7FF6" w:rsidP="00D80C1E">
      <w:pPr>
        <w:pStyle w:val="ListParagraph"/>
        <w:numPr>
          <w:ilvl w:val="0"/>
          <w:numId w:val="17"/>
        </w:numPr>
        <w:jc w:val="left"/>
        <w:rPr>
          <w:lang w:val="en-ZA"/>
        </w:rPr>
      </w:pPr>
      <w:r w:rsidRPr="00B73A03">
        <w:rPr>
          <w:b/>
          <w:bCs/>
          <w:lang w:val="en-ZA"/>
        </w:rPr>
        <w:t>Workforce planning</w:t>
      </w:r>
      <w:r>
        <w:rPr>
          <w:lang w:val="en-ZA"/>
        </w:rPr>
        <w:t xml:space="preserve"> templates and </w:t>
      </w:r>
      <w:r w:rsidR="00121CE2">
        <w:rPr>
          <w:lang w:val="en-ZA"/>
        </w:rPr>
        <w:t>examples</w:t>
      </w:r>
      <w:r>
        <w:rPr>
          <w:lang w:val="en-ZA"/>
        </w:rPr>
        <w:t xml:space="preserve">: </w:t>
      </w:r>
      <w:hyperlink r:id="rId57" w:history="1">
        <w:r w:rsidR="00121CE2" w:rsidRPr="00191B0C">
          <w:rPr>
            <w:rStyle w:val="Hyperlink"/>
            <w:lang w:val="en-ZA"/>
          </w:rPr>
          <w:t>https://hr.uci.edu/partnership/futureofwork/pdf/Staff-Workforce-Planning-Template.pdf</w:t>
        </w:r>
      </w:hyperlink>
      <w:r w:rsidR="00121CE2">
        <w:rPr>
          <w:lang w:val="en-ZA"/>
        </w:rPr>
        <w:t xml:space="preserve">; </w:t>
      </w:r>
      <w:hyperlink r:id="rId58" w:history="1">
        <w:r w:rsidR="00121CE2" w:rsidRPr="00191B0C">
          <w:rPr>
            <w:rStyle w:val="Hyperlink"/>
            <w:lang w:val="en-ZA"/>
          </w:rPr>
          <w:t>https://www.hr.admin.cam.ac.uk/workforce-planning-toolkit</w:t>
        </w:r>
      </w:hyperlink>
      <w:r w:rsidR="00121CE2">
        <w:rPr>
          <w:lang w:val="en-ZA"/>
        </w:rPr>
        <w:t xml:space="preserve">; </w:t>
      </w:r>
      <w:hyperlink r:id="rId59" w:history="1">
        <w:r w:rsidR="00DC50CE" w:rsidRPr="00191B0C">
          <w:rPr>
            <w:rStyle w:val="Hyperlink"/>
            <w:lang w:val="en-ZA"/>
          </w:rPr>
          <w:t>https://www.ucop.edu/local-human-resources/_files/manager-resources/workforce-plan-phases-1-5_11-6-19.pdf</w:t>
        </w:r>
      </w:hyperlink>
      <w:r w:rsidR="00DC50CE">
        <w:rPr>
          <w:lang w:val="en-ZA"/>
        </w:rPr>
        <w:t xml:space="preserve">; </w:t>
      </w:r>
      <w:hyperlink r:id="rId60" w:history="1">
        <w:r w:rsidR="00BA792C" w:rsidRPr="00191B0C">
          <w:rPr>
            <w:rStyle w:val="Hyperlink"/>
            <w:lang w:val="en-ZA"/>
          </w:rPr>
          <w:t>https://www.aihr.com/blog/strategic-workforce-planning/</w:t>
        </w:r>
      </w:hyperlink>
      <w:r w:rsidR="002326D6">
        <w:rPr>
          <w:lang w:val="en-ZA"/>
        </w:rPr>
        <w:t xml:space="preserve"> </w:t>
      </w:r>
    </w:p>
    <w:p w14:paraId="5FEA3B54" w14:textId="09C4DF49" w:rsidR="00B73A03" w:rsidRPr="00683845" w:rsidRDefault="00B73A03" w:rsidP="00D80C1E">
      <w:pPr>
        <w:pStyle w:val="ListParagraph"/>
        <w:numPr>
          <w:ilvl w:val="0"/>
          <w:numId w:val="17"/>
        </w:numPr>
        <w:jc w:val="left"/>
        <w:rPr>
          <w:lang w:val="en-ZA"/>
        </w:rPr>
      </w:pPr>
      <w:r w:rsidRPr="00683845">
        <w:rPr>
          <w:b/>
          <w:bCs/>
          <w:lang w:val="en-ZA"/>
        </w:rPr>
        <w:t>Retention strategies:</w:t>
      </w:r>
      <w:r w:rsidRPr="00683845">
        <w:rPr>
          <w:lang w:val="en-ZA"/>
        </w:rPr>
        <w:t xml:space="preserve"> </w:t>
      </w:r>
      <w:hyperlink r:id="rId61" w:history="1">
        <w:r w:rsidR="000F404C" w:rsidRPr="00683845">
          <w:rPr>
            <w:rStyle w:val="Hyperlink"/>
            <w:lang w:val="en-ZA"/>
          </w:rPr>
          <w:t>https://ujcontent.uj.ac.za/esploro/outputs/graduate/Retention-strategies-for-millennial-academics-in/9927205507691</w:t>
        </w:r>
      </w:hyperlink>
      <w:r w:rsidR="000F404C" w:rsidRPr="00683845">
        <w:rPr>
          <w:lang w:val="en-ZA"/>
        </w:rPr>
        <w:t xml:space="preserve">; </w:t>
      </w:r>
      <w:hyperlink r:id="rId62" w:history="1">
        <w:r w:rsidR="000F404C" w:rsidRPr="00683845">
          <w:rPr>
            <w:rStyle w:val="Hyperlink"/>
            <w:lang w:val="en-ZA"/>
          </w:rPr>
          <w:t>https://sajhrm.co.za/index.php/sajhrm/article/view/1975/3036</w:t>
        </w:r>
      </w:hyperlink>
      <w:r w:rsidR="000F404C" w:rsidRPr="00683845">
        <w:rPr>
          <w:lang w:val="en-ZA"/>
        </w:rPr>
        <w:t xml:space="preserve">; </w:t>
      </w:r>
      <w:hyperlink r:id="rId63" w:history="1">
        <w:r w:rsidR="00C05ACF" w:rsidRPr="00683845">
          <w:rPr>
            <w:rStyle w:val="Hyperlink"/>
            <w:lang w:val="en-ZA"/>
          </w:rPr>
          <w:t>https://www.cupahr.org/issue/feature/the-higher-ed-employee-retention-crisis-and-what-to-do-about-it/</w:t>
        </w:r>
      </w:hyperlink>
      <w:r w:rsidR="002326D6" w:rsidRPr="00683845">
        <w:rPr>
          <w:lang w:val="en-ZA"/>
        </w:rPr>
        <w:t xml:space="preserve"> </w:t>
      </w:r>
    </w:p>
    <w:p w14:paraId="5F32DA9C" w14:textId="33C9682E" w:rsidR="00BC328D" w:rsidRPr="00683845" w:rsidRDefault="00CF3DE7" w:rsidP="00CA2738">
      <w:pPr>
        <w:jc w:val="left"/>
        <w:rPr>
          <w:lang w:val="en-ZA"/>
        </w:rPr>
      </w:pPr>
      <w:r w:rsidRPr="00683845">
        <w:rPr>
          <w:lang w:val="en-ZA"/>
        </w:rPr>
        <w:br w:type="page"/>
      </w:r>
    </w:p>
    <w:p w14:paraId="50035D46" w14:textId="7804D0AC" w:rsidR="00CF3DE7" w:rsidRDefault="00CF3DE7" w:rsidP="00CA2738">
      <w:pPr>
        <w:pStyle w:val="Heading1"/>
      </w:pPr>
      <w:r>
        <w:lastRenderedPageBreak/>
        <w:t xml:space="preserve">Appendix </w:t>
      </w:r>
      <w:r w:rsidR="00605850">
        <w:t>A</w:t>
      </w:r>
      <w:r>
        <w:t>: Institutional self-assessment framework</w:t>
      </w:r>
    </w:p>
    <w:p w14:paraId="1A21C3DC" w14:textId="77777777" w:rsidR="00351390" w:rsidRDefault="00351390" w:rsidP="00CA2738">
      <w:pPr>
        <w:rPr>
          <w:lang w:val="en-ZA"/>
        </w:rPr>
      </w:pPr>
    </w:p>
    <w:p w14:paraId="71BA0004" w14:textId="127B2AB3" w:rsidR="00CF3DE7" w:rsidRDefault="00D6440C" w:rsidP="00CA2738">
      <w:pPr>
        <w:rPr>
          <w:lang w:val="en-ZA"/>
        </w:rPr>
      </w:pPr>
      <w:r>
        <w:rPr>
          <w:lang w:val="en-ZA"/>
        </w:rPr>
        <w:t>U</w:t>
      </w:r>
      <w:r w:rsidR="00CF3DE7" w:rsidRPr="00CF3DE7">
        <w:rPr>
          <w:lang w:val="en-ZA"/>
        </w:rPr>
        <w:t xml:space="preserve">se the rating scale below to </w:t>
      </w:r>
      <w:r>
        <w:rPr>
          <w:lang w:val="en-ZA"/>
        </w:rPr>
        <w:t>reflect on</w:t>
      </w:r>
      <w:r w:rsidR="00CF3DE7" w:rsidRPr="00CF3DE7">
        <w:rPr>
          <w:lang w:val="en-ZA"/>
        </w:rPr>
        <w:t xml:space="preserve"> the current state of your institution's HR </w:t>
      </w:r>
      <w:r>
        <w:rPr>
          <w:lang w:val="en-ZA"/>
        </w:rPr>
        <w:t xml:space="preserve">policies </w:t>
      </w:r>
      <w:r w:rsidR="00CF3DE7" w:rsidRPr="00CF3DE7">
        <w:rPr>
          <w:lang w:val="en-ZA"/>
        </w:rPr>
        <w:t>and institutional practices</w:t>
      </w:r>
      <w:r>
        <w:rPr>
          <w:lang w:val="en-ZA"/>
        </w:rPr>
        <w:t xml:space="preserve"> that can help in identifying </w:t>
      </w:r>
      <w:r w:rsidR="00CF3DE7" w:rsidRPr="00CF3DE7">
        <w:rPr>
          <w:lang w:val="en-ZA"/>
        </w:rPr>
        <w:t>strengths, gaps, and areas for improvement.</w:t>
      </w:r>
    </w:p>
    <w:p w14:paraId="6EF58198" w14:textId="77777777" w:rsidR="00CF3DE7" w:rsidRDefault="00CF3DE7" w:rsidP="00CA2738">
      <w:pPr>
        <w:rPr>
          <w:lang w:val="en-ZA"/>
        </w:rPr>
      </w:pPr>
    </w:p>
    <w:p w14:paraId="2E5539F2" w14:textId="77777777" w:rsidR="00CF3DE7" w:rsidRPr="00CF3DE7" w:rsidRDefault="00CF3DE7" w:rsidP="00CA2738">
      <w:pPr>
        <w:rPr>
          <w:b/>
          <w:bCs/>
          <w:lang w:val="en-ZA"/>
        </w:rPr>
      </w:pPr>
      <w:r w:rsidRPr="00CF3DE7">
        <w:rPr>
          <w:b/>
          <w:bCs/>
          <w:lang w:val="en-ZA"/>
        </w:rPr>
        <w:t>Rating Scale</w:t>
      </w:r>
    </w:p>
    <w:p w14:paraId="169CC69E" w14:textId="77777777" w:rsidR="00CF3DE7" w:rsidRPr="00CF3DE7" w:rsidRDefault="00CF3DE7" w:rsidP="00041238">
      <w:pPr>
        <w:numPr>
          <w:ilvl w:val="0"/>
          <w:numId w:val="5"/>
        </w:numPr>
        <w:rPr>
          <w:lang w:val="en-ZA"/>
        </w:rPr>
      </w:pPr>
      <w:r w:rsidRPr="00CF3DE7">
        <w:rPr>
          <w:b/>
          <w:bCs/>
          <w:lang w:val="en-ZA"/>
        </w:rPr>
        <w:t>1 – Not in place</w:t>
      </w:r>
    </w:p>
    <w:p w14:paraId="177C5CBD" w14:textId="77777777" w:rsidR="00CF3DE7" w:rsidRPr="00CF3DE7" w:rsidRDefault="00CF3DE7" w:rsidP="00041238">
      <w:pPr>
        <w:numPr>
          <w:ilvl w:val="0"/>
          <w:numId w:val="5"/>
        </w:numPr>
        <w:rPr>
          <w:lang w:val="en-ZA"/>
        </w:rPr>
      </w:pPr>
      <w:r w:rsidRPr="00CF3DE7">
        <w:rPr>
          <w:b/>
          <w:bCs/>
          <w:lang w:val="en-ZA"/>
        </w:rPr>
        <w:t>2 – Developing</w:t>
      </w:r>
      <w:r w:rsidRPr="00CF3DE7">
        <w:rPr>
          <w:lang w:val="en-ZA"/>
        </w:rPr>
        <w:t xml:space="preserve"> (some elements present, but not consistent or comprehensive)</w:t>
      </w:r>
    </w:p>
    <w:p w14:paraId="18FE8120" w14:textId="1A584BFF" w:rsidR="00CF3DE7" w:rsidRPr="00CF3DE7" w:rsidRDefault="00CF3DE7" w:rsidP="00041238">
      <w:pPr>
        <w:numPr>
          <w:ilvl w:val="0"/>
          <w:numId w:val="5"/>
        </w:numPr>
        <w:rPr>
          <w:lang w:val="en-ZA"/>
        </w:rPr>
      </w:pPr>
      <w:r w:rsidRPr="00CF3DE7">
        <w:rPr>
          <w:b/>
          <w:bCs/>
          <w:lang w:val="en-ZA"/>
        </w:rPr>
        <w:t>3 – Functional</w:t>
      </w:r>
      <w:r w:rsidRPr="00CF3DE7">
        <w:rPr>
          <w:lang w:val="en-ZA"/>
        </w:rPr>
        <w:t xml:space="preserve"> (in place but needs improvement or </w:t>
      </w:r>
      <w:r w:rsidR="004F3D9A">
        <w:rPr>
          <w:lang w:val="en-ZA"/>
        </w:rPr>
        <w:t xml:space="preserve">is </w:t>
      </w:r>
      <w:r w:rsidRPr="00CF3DE7">
        <w:rPr>
          <w:lang w:val="en-ZA"/>
        </w:rPr>
        <w:t>limited in scope)</w:t>
      </w:r>
    </w:p>
    <w:p w14:paraId="76AC6085" w14:textId="77777777" w:rsidR="00CF3DE7" w:rsidRPr="00CF3DE7" w:rsidRDefault="00CF3DE7" w:rsidP="00041238">
      <w:pPr>
        <w:numPr>
          <w:ilvl w:val="0"/>
          <w:numId w:val="5"/>
        </w:numPr>
        <w:rPr>
          <w:lang w:val="en-ZA"/>
        </w:rPr>
      </w:pPr>
      <w:r w:rsidRPr="00CF3DE7">
        <w:rPr>
          <w:b/>
          <w:bCs/>
          <w:lang w:val="en-ZA"/>
        </w:rPr>
        <w:t>4 – Strong</w:t>
      </w:r>
      <w:r w:rsidRPr="00CF3DE7">
        <w:rPr>
          <w:lang w:val="en-ZA"/>
        </w:rPr>
        <w:t xml:space="preserve"> (well-developed, applied consistently)</w:t>
      </w:r>
    </w:p>
    <w:p w14:paraId="4DFFBB7D" w14:textId="3A24B37B" w:rsidR="00CF3DE7" w:rsidRDefault="00CF3DE7" w:rsidP="00041238">
      <w:pPr>
        <w:numPr>
          <w:ilvl w:val="0"/>
          <w:numId w:val="5"/>
        </w:numPr>
        <w:rPr>
          <w:lang w:val="en-ZA"/>
        </w:rPr>
      </w:pPr>
      <w:r w:rsidRPr="00CF3DE7">
        <w:rPr>
          <w:b/>
          <w:bCs/>
          <w:lang w:val="en-ZA"/>
        </w:rPr>
        <w:t>5 – Exemplary</w:t>
      </w:r>
      <w:r w:rsidRPr="00CF3DE7">
        <w:rPr>
          <w:lang w:val="en-ZA"/>
        </w:rPr>
        <w:t xml:space="preserve"> (fully institutionali</w:t>
      </w:r>
      <w:r w:rsidR="00482B5E">
        <w:rPr>
          <w:lang w:val="en-ZA"/>
        </w:rPr>
        <w:t>s</w:t>
      </w:r>
      <w:r w:rsidRPr="00CF3DE7">
        <w:rPr>
          <w:lang w:val="en-ZA"/>
        </w:rPr>
        <w:t>ed, regularly evaluated and improved)</w:t>
      </w:r>
    </w:p>
    <w:p w14:paraId="37F70518" w14:textId="77777777" w:rsidR="002326D6" w:rsidRDefault="002326D6" w:rsidP="00351390">
      <w:pPr>
        <w:rPr>
          <w:lang w:val="en-ZA"/>
        </w:rPr>
      </w:pPr>
    </w:p>
    <w:p w14:paraId="339391F0" w14:textId="3D6071B5" w:rsidR="00351390" w:rsidRPr="00CF3DE7" w:rsidRDefault="008A3E98" w:rsidP="00351390">
      <w:pPr>
        <w:rPr>
          <w:lang w:val="en-ZA"/>
        </w:rPr>
      </w:pPr>
      <w:r>
        <w:rPr>
          <w:lang w:val="en-ZA"/>
        </w:rPr>
        <w:t xml:space="preserve">All components scored 1-3 should be </w:t>
      </w:r>
      <w:r w:rsidR="00444BD6">
        <w:rPr>
          <w:lang w:val="en-ZA"/>
        </w:rPr>
        <w:t xml:space="preserve">reviewed and considered </w:t>
      </w:r>
      <w:r w:rsidR="002962FF">
        <w:rPr>
          <w:lang w:val="en-ZA"/>
        </w:rPr>
        <w:t xml:space="preserve">for improvement. </w:t>
      </w:r>
    </w:p>
    <w:p w14:paraId="56B6E6EE" w14:textId="77777777" w:rsidR="00CF3DE7" w:rsidRDefault="00CF3DE7" w:rsidP="00CA2738">
      <w:pPr>
        <w:rPr>
          <w:lang w:val="en-ZA"/>
        </w:rPr>
      </w:pPr>
    </w:p>
    <w:tbl>
      <w:tblPr>
        <w:tblStyle w:val="TableGrid"/>
        <w:tblW w:w="0" w:type="auto"/>
        <w:tblLook w:val="04A0" w:firstRow="1" w:lastRow="0" w:firstColumn="1" w:lastColumn="0" w:noHBand="0" w:noVBand="1"/>
      </w:tblPr>
      <w:tblGrid>
        <w:gridCol w:w="6799"/>
        <w:gridCol w:w="443"/>
        <w:gridCol w:w="443"/>
        <w:gridCol w:w="444"/>
        <w:gridCol w:w="443"/>
        <w:gridCol w:w="444"/>
      </w:tblGrid>
      <w:tr w:rsidR="00CB0D47" w:rsidRPr="00E90E93" w14:paraId="5A732DDC" w14:textId="77777777" w:rsidTr="00C25049">
        <w:trPr>
          <w:tblHeader/>
        </w:trPr>
        <w:tc>
          <w:tcPr>
            <w:tcW w:w="9016" w:type="dxa"/>
            <w:gridSpan w:val="6"/>
            <w:shd w:val="clear" w:color="auto" w:fill="002060"/>
          </w:tcPr>
          <w:p w14:paraId="57545CA6" w14:textId="2AA59784" w:rsidR="00CB0D47" w:rsidRPr="00E90E93" w:rsidRDefault="00CB0D47" w:rsidP="00CA2738">
            <w:pPr>
              <w:jc w:val="left"/>
              <w:rPr>
                <w:b/>
                <w:bCs/>
                <w:lang w:val="en-ZA"/>
              </w:rPr>
            </w:pPr>
            <w:r>
              <w:rPr>
                <w:b/>
                <w:bCs/>
                <w:lang w:val="en-ZA"/>
              </w:rPr>
              <w:t xml:space="preserve">Institutional self-assessment </w:t>
            </w:r>
            <w:r w:rsidR="00C25049">
              <w:rPr>
                <w:b/>
                <w:bCs/>
                <w:lang w:val="en-ZA"/>
              </w:rPr>
              <w:t>rating scale</w:t>
            </w:r>
          </w:p>
        </w:tc>
      </w:tr>
      <w:tr w:rsidR="00D6440C" w:rsidRPr="00E90E93" w14:paraId="3BE2DC3E" w14:textId="77777777" w:rsidTr="00C25049">
        <w:tc>
          <w:tcPr>
            <w:tcW w:w="9016" w:type="dxa"/>
            <w:gridSpan w:val="6"/>
            <w:shd w:val="clear" w:color="auto" w:fill="DBE5F1" w:themeFill="accent1" w:themeFillTint="33"/>
          </w:tcPr>
          <w:p w14:paraId="194309FD" w14:textId="3C078A15" w:rsidR="00D6440C" w:rsidRPr="00E90E93" w:rsidRDefault="00D6440C" w:rsidP="00CA2738">
            <w:pPr>
              <w:jc w:val="left"/>
              <w:rPr>
                <w:b/>
                <w:bCs/>
                <w:lang w:val="en-ZA"/>
              </w:rPr>
            </w:pPr>
            <w:bookmarkStart w:id="0" w:name="_Hlk196824678"/>
            <w:r w:rsidRPr="00E90E93">
              <w:rPr>
                <w:b/>
                <w:bCs/>
                <w:lang w:val="en-ZA"/>
              </w:rPr>
              <w:t>Current HR policies and other guiding documents</w:t>
            </w:r>
          </w:p>
        </w:tc>
      </w:tr>
      <w:bookmarkEnd w:id="0"/>
      <w:tr w:rsidR="00E90E93" w14:paraId="372D3298" w14:textId="77777777" w:rsidTr="00CF3DE7">
        <w:tc>
          <w:tcPr>
            <w:tcW w:w="6799" w:type="dxa"/>
          </w:tcPr>
          <w:p w14:paraId="09280C3F" w14:textId="4B8DB4F3" w:rsidR="00251E38" w:rsidRPr="00AA2E5D" w:rsidRDefault="00543D4C" w:rsidP="00AA2E5D">
            <w:pPr>
              <w:pStyle w:val="ListParagraph"/>
              <w:numPr>
                <w:ilvl w:val="0"/>
                <w:numId w:val="6"/>
              </w:numPr>
              <w:jc w:val="left"/>
              <w:rPr>
                <w:lang w:val="en-ZA"/>
              </w:rPr>
            </w:pPr>
            <w:r>
              <w:rPr>
                <w:lang w:val="en-ZA"/>
              </w:rPr>
              <w:t>The institution has formal policy</w:t>
            </w:r>
            <w:r w:rsidR="001875BF">
              <w:rPr>
                <w:lang w:val="en-ZA"/>
              </w:rPr>
              <w:t xml:space="preserve"> statements</w:t>
            </w:r>
            <w:r w:rsidR="00990F21">
              <w:rPr>
                <w:lang w:val="en-ZA"/>
              </w:rPr>
              <w:t>*</w:t>
            </w:r>
            <w:r>
              <w:rPr>
                <w:lang w:val="en-ZA"/>
              </w:rPr>
              <w:t xml:space="preserve"> in place for</w:t>
            </w:r>
            <w:r w:rsidR="001875BF">
              <w:rPr>
                <w:lang w:val="en-ZA"/>
              </w:rPr>
              <w:t>:</w:t>
            </w:r>
          </w:p>
        </w:tc>
        <w:tc>
          <w:tcPr>
            <w:tcW w:w="443" w:type="dxa"/>
          </w:tcPr>
          <w:p w14:paraId="606A7891" w14:textId="051CBF5D" w:rsidR="00E90E93" w:rsidRDefault="00E90E93" w:rsidP="00CA2738">
            <w:pPr>
              <w:jc w:val="center"/>
              <w:rPr>
                <w:lang w:val="en-ZA"/>
              </w:rPr>
            </w:pPr>
          </w:p>
        </w:tc>
        <w:tc>
          <w:tcPr>
            <w:tcW w:w="443" w:type="dxa"/>
          </w:tcPr>
          <w:p w14:paraId="6FA04EE8" w14:textId="32125A3E" w:rsidR="00E90E93" w:rsidRDefault="00E90E93" w:rsidP="00CA2738">
            <w:pPr>
              <w:jc w:val="center"/>
              <w:rPr>
                <w:lang w:val="en-ZA"/>
              </w:rPr>
            </w:pPr>
          </w:p>
        </w:tc>
        <w:tc>
          <w:tcPr>
            <w:tcW w:w="444" w:type="dxa"/>
          </w:tcPr>
          <w:p w14:paraId="73FFFA43" w14:textId="553374BD" w:rsidR="00E90E93" w:rsidRDefault="00E90E93" w:rsidP="00CA2738">
            <w:pPr>
              <w:jc w:val="center"/>
              <w:rPr>
                <w:lang w:val="en-ZA"/>
              </w:rPr>
            </w:pPr>
          </w:p>
        </w:tc>
        <w:tc>
          <w:tcPr>
            <w:tcW w:w="443" w:type="dxa"/>
          </w:tcPr>
          <w:p w14:paraId="3E30D067" w14:textId="04F8BB3B" w:rsidR="00E90E93" w:rsidRDefault="00E90E93" w:rsidP="00CA2738">
            <w:pPr>
              <w:jc w:val="center"/>
              <w:rPr>
                <w:lang w:val="en-ZA"/>
              </w:rPr>
            </w:pPr>
          </w:p>
        </w:tc>
        <w:tc>
          <w:tcPr>
            <w:tcW w:w="444" w:type="dxa"/>
          </w:tcPr>
          <w:p w14:paraId="71B7E731" w14:textId="2FE1D016" w:rsidR="00E90E93" w:rsidRDefault="00E90E93" w:rsidP="00CA2738">
            <w:pPr>
              <w:jc w:val="center"/>
              <w:rPr>
                <w:lang w:val="en-ZA"/>
              </w:rPr>
            </w:pPr>
          </w:p>
        </w:tc>
      </w:tr>
      <w:tr w:rsidR="00AA2E5D" w14:paraId="14F1F2FF" w14:textId="77777777" w:rsidTr="00CF3DE7">
        <w:tc>
          <w:tcPr>
            <w:tcW w:w="6799" w:type="dxa"/>
          </w:tcPr>
          <w:p w14:paraId="36E294A8" w14:textId="3120421C" w:rsidR="00AA2E5D" w:rsidRPr="00AA2E5D" w:rsidRDefault="00AA2E5D" w:rsidP="00AA2E5D">
            <w:pPr>
              <w:pStyle w:val="ListParagraph"/>
              <w:numPr>
                <w:ilvl w:val="1"/>
                <w:numId w:val="4"/>
              </w:numPr>
              <w:jc w:val="left"/>
              <w:rPr>
                <w:lang w:val="en-ZA"/>
              </w:rPr>
            </w:pPr>
            <w:r w:rsidRPr="007E3141">
              <w:rPr>
                <w:lang w:val="en-ZA"/>
              </w:rPr>
              <w:t>Leave</w:t>
            </w:r>
          </w:p>
        </w:tc>
        <w:tc>
          <w:tcPr>
            <w:tcW w:w="443" w:type="dxa"/>
          </w:tcPr>
          <w:p w14:paraId="2D6DB25F" w14:textId="34009124" w:rsidR="00AA2E5D" w:rsidRPr="00E90E93" w:rsidRDefault="00AA2E5D" w:rsidP="00AA2E5D">
            <w:pPr>
              <w:jc w:val="center"/>
              <w:rPr>
                <w:b/>
                <w:bCs/>
                <w:lang w:val="en-ZA"/>
              </w:rPr>
            </w:pPr>
            <w:r w:rsidRPr="00E90E93">
              <w:rPr>
                <w:b/>
                <w:bCs/>
                <w:lang w:val="en-ZA"/>
              </w:rPr>
              <w:t>1</w:t>
            </w:r>
          </w:p>
        </w:tc>
        <w:tc>
          <w:tcPr>
            <w:tcW w:w="443" w:type="dxa"/>
          </w:tcPr>
          <w:p w14:paraId="6460A8F9" w14:textId="14CCD00C" w:rsidR="00AA2E5D" w:rsidRPr="00E90E93" w:rsidRDefault="00AA2E5D" w:rsidP="00AA2E5D">
            <w:pPr>
              <w:jc w:val="center"/>
              <w:rPr>
                <w:b/>
                <w:bCs/>
                <w:lang w:val="en-ZA"/>
              </w:rPr>
            </w:pPr>
            <w:r w:rsidRPr="00E90E93">
              <w:rPr>
                <w:b/>
                <w:bCs/>
                <w:lang w:val="en-ZA"/>
              </w:rPr>
              <w:t>2</w:t>
            </w:r>
          </w:p>
        </w:tc>
        <w:tc>
          <w:tcPr>
            <w:tcW w:w="444" w:type="dxa"/>
          </w:tcPr>
          <w:p w14:paraId="6B3F36B7" w14:textId="10561828" w:rsidR="00AA2E5D" w:rsidRPr="00E90E93" w:rsidRDefault="00AA2E5D" w:rsidP="00AA2E5D">
            <w:pPr>
              <w:jc w:val="center"/>
              <w:rPr>
                <w:b/>
                <w:bCs/>
                <w:lang w:val="en-ZA"/>
              </w:rPr>
            </w:pPr>
            <w:r w:rsidRPr="00E90E93">
              <w:rPr>
                <w:b/>
                <w:bCs/>
                <w:lang w:val="en-ZA"/>
              </w:rPr>
              <w:t>3</w:t>
            </w:r>
          </w:p>
        </w:tc>
        <w:tc>
          <w:tcPr>
            <w:tcW w:w="443" w:type="dxa"/>
          </w:tcPr>
          <w:p w14:paraId="7322F7A6" w14:textId="51E9680F" w:rsidR="00AA2E5D" w:rsidRPr="00E90E93" w:rsidRDefault="00AA2E5D" w:rsidP="00AA2E5D">
            <w:pPr>
              <w:jc w:val="center"/>
              <w:rPr>
                <w:b/>
                <w:bCs/>
                <w:lang w:val="en-ZA"/>
              </w:rPr>
            </w:pPr>
            <w:r w:rsidRPr="00E90E93">
              <w:rPr>
                <w:b/>
                <w:bCs/>
                <w:lang w:val="en-ZA"/>
              </w:rPr>
              <w:t>4</w:t>
            </w:r>
          </w:p>
        </w:tc>
        <w:tc>
          <w:tcPr>
            <w:tcW w:w="444" w:type="dxa"/>
          </w:tcPr>
          <w:p w14:paraId="1F838E2C" w14:textId="0249E3C4" w:rsidR="00AA2E5D" w:rsidRPr="00E90E93" w:rsidRDefault="00AA2E5D" w:rsidP="00AA2E5D">
            <w:pPr>
              <w:jc w:val="center"/>
              <w:rPr>
                <w:b/>
                <w:bCs/>
                <w:lang w:val="en-ZA"/>
              </w:rPr>
            </w:pPr>
            <w:r w:rsidRPr="00E90E93">
              <w:rPr>
                <w:b/>
                <w:bCs/>
                <w:lang w:val="en-ZA"/>
              </w:rPr>
              <w:t>5</w:t>
            </w:r>
          </w:p>
        </w:tc>
      </w:tr>
      <w:tr w:rsidR="00AA2E5D" w14:paraId="336AE324" w14:textId="77777777" w:rsidTr="00CF3DE7">
        <w:tc>
          <w:tcPr>
            <w:tcW w:w="6799" w:type="dxa"/>
          </w:tcPr>
          <w:p w14:paraId="187C5B1C" w14:textId="69BE7372" w:rsidR="00AA2E5D" w:rsidRDefault="00AA2E5D" w:rsidP="00AA2E5D">
            <w:pPr>
              <w:pStyle w:val="ListParagraph"/>
              <w:numPr>
                <w:ilvl w:val="1"/>
                <w:numId w:val="4"/>
              </w:numPr>
              <w:jc w:val="left"/>
              <w:rPr>
                <w:lang w:val="en-ZA"/>
              </w:rPr>
            </w:pPr>
            <w:r>
              <w:rPr>
                <w:lang w:val="en-ZA"/>
              </w:rPr>
              <w:t>R</w:t>
            </w:r>
            <w:r w:rsidRPr="007E3141">
              <w:rPr>
                <w:lang w:val="en-ZA"/>
              </w:rPr>
              <w:t>ecruitment</w:t>
            </w:r>
          </w:p>
        </w:tc>
        <w:tc>
          <w:tcPr>
            <w:tcW w:w="443" w:type="dxa"/>
          </w:tcPr>
          <w:p w14:paraId="75C007D4" w14:textId="342CAEC3" w:rsidR="00AA2E5D" w:rsidRPr="00E90E93" w:rsidRDefault="00AA2E5D" w:rsidP="00AA2E5D">
            <w:pPr>
              <w:jc w:val="center"/>
              <w:rPr>
                <w:b/>
                <w:bCs/>
                <w:lang w:val="en-ZA"/>
              </w:rPr>
            </w:pPr>
            <w:r w:rsidRPr="00E90E93">
              <w:rPr>
                <w:b/>
                <w:bCs/>
                <w:lang w:val="en-ZA"/>
              </w:rPr>
              <w:t>1</w:t>
            </w:r>
          </w:p>
        </w:tc>
        <w:tc>
          <w:tcPr>
            <w:tcW w:w="443" w:type="dxa"/>
          </w:tcPr>
          <w:p w14:paraId="62F934DE" w14:textId="31394682" w:rsidR="00AA2E5D" w:rsidRPr="00E90E93" w:rsidRDefault="00AA2E5D" w:rsidP="00AA2E5D">
            <w:pPr>
              <w:jc w:val="center"/>
              <w:rPr>
                <w:b/>
                <w:bCs/>
                <w:lang w:val="en-ZA"/>
              </w:rPr>
            </w:pPr>
            <w:r w:rsidRPr="00E90E93">
              <w:rPr>
                <w:b/>
                <w:bCs/>
                <w:lang w:val="en-ZA"/>
              </w:rPr>
              <w:t>2</w:t>
            </w:r>
          </w:p>
        </w:tc>
        <w:tc>
          <w:tcPr>
            <w:tcW w:w="444" w:type="dxa"/>
          </w:tcPr>
          <w:p w14:paraId="0D6E155F" w14:textId="7D52B0A1" w:rsidR="00AA2E5D" w:rsidRPr="00E90E93" w:rsidRDefault="00AA2E5D" w:rsidP="00AA2E5D">
            <w:pPr>
              <w:jc w:val="center"/>
              <w:rPr>
                <w:b/>
                <w:bCs/>
                <w:lang w:val="en-ZA"/>
              </w:rPr>
            </w:pPr>
            <w:r w:rsidRPr="00E90E93">
              <w:rPr>
                <w:b/>
                <w:bCs/>
                <w:lang w:val="en-ZA"/>
              </w:rPr>
              <w:t>3</w:t>
            </w:r>
          </w:p>
        </w:tc>
        <w:tc>
          <w:tcPr>
            <w:tcW w:w="443" w:type="dxa"/>
          </w:tcPr>
          <w:p w14:paraId="5336A67E" w14:textId="684F14A9" w:rsidR="00AA2E5D" w:rsidRPr="00E90E93" w:rsidRDefault="00AA2E5D" w:rsidP="00AA2E5D">
            <w:pPr>
              <w:jc w:val="center"/>
              <w:rPr>
                <w:b/>
                <w:bCs/>
                <w:lang w:val="en-ZA"/>
              </w:rPr>
            </w:pPr>
            <w:r w:rsidRPr="00E90E93">
              <w:rPr>
                <w:b/>
                <w:bCs/>
                <w:lang w:val="en-ZA"/>
              </w:rPr>
              <w:t>4</w:t>
            </w:r>
          </w:p>
        </w:tc>
        <w:tc>
          <w:tcPr>
            <w:tcW w:w="444" w:type="dxa"/>
          </w:tcPr>
          <w:p w14:paraId="729E0676" w14:textId="3CD8811E" w:rsidR="00AA2E5D" w:rsidRPr="00E90E93" w:rsidRDefault="00AA2E5D" w:rsidP="00AA2E5D">
            <w:pPr>
              <w:jc w:val="center"/>
              <w:rPr>
                <w:b/>
                <w:bCs/>
                <w:lang w:val="en-ZA"/>
              </w:rPr>
            </w:pPr>
            <w:r w:rsidRPr="00E90E93">
              <w:rPr>
                <w:b/>
                <w:bCs/>
                <w:lang w:val="en-ZA"/>
              </w:rPr>
              <w:t>5</w:t>
            </w:r>
          </w:p>
        </w:tc>
      </w:tr>
      <w:tr w:rsidR="00AA2E5D" w14:paraId="1C173322" w14:textId="77777777" w:rsidTr="00CF3DE7">
        <w:tc>
          <w:tcPr>
            <w:tcW w:w="6799" w:type="dxa"/>
          </w:tcPr>
          <w:p w14:paraId="1B5ACC1F" w14:textId="390B6DD5" w:rsidR="00AA2E5D" w:rsidRPr="00AA2E5D" w:rsidRDefault="00AA2E5D" w:rsidP="00AA2E5D">
            <w:pPr>
              <w:pStyle w:val="ListParagraph"/>
              <w:numPr>
                <w:ilvl w:val="1"/>
                <w:numId w:val="4"/>
              </w:numPr>
              <w:jc w:val="left"/>
              <w:rPr>
                <w:lang w:val="en-ZA"/>
              </w:rPr>
            </w:pPr>
            <w:r w:rsidRPr="007E3141">
              <w:rPr>
                <w:lang w:val="en-ZA"/>
              </w:rPr>
              <w:t>Performance</w:t>
            </w:r>
            <w:r>
              <w:rPr>
                <w:lang w:val="en-ZA"/>
              </w:rPr>
              <w:t xml:space="preserve"> management</w:t>
            </w:r>
          </w:p>
        </w:tc>
        <w:tc>
          <w:tcPr>
            <w:tcW w:w="443" w:type="dxa"/>
          </w:tcPr>
          <w:p w14:paraId="05558CA5" w14:textId="2E3A69AA" w:rsidR="00AA2E5D" w:rsidRPr="00E90E93" w:rsidRDefault="00AA2E5D" w:rsidP="00AA2E5D">
            <w:pPr>
              <w:jc w:val="center"/>
              <w:rPr>
                <w:b/>
                <w:bCs/>
                <w:lang w:val="en-ZA"/>
              </w:rPr>
            </w:pPr>
            <w:r w:rsidRPr="00E90E93">
              <w:rPr>
                <w:b/>
                <w:bCs/>
                <w:lang w:val="en-ZA"/>
              </w:rPr>
              <w:t>1</w:t>
            </w:r>
          </w:p>
        </w:tc>
        <w:tc>
          <w:tcPr>
            <w:tcW w:w="443" w:type="dxa"/>
          </w:tcPr>
          <w:p w14:paraId="3E013F14" w14:textId="11F45C6D" w:rsidR="00AA2E5D" w:rsidRPr="00E90E93" w:rsidRDefault="00AA2E5D" w:rsidP="00AA2E5D">
            <w:pPr>
              <w:jc w:val="center"/>
              <w:rPr>
                <w:b/>
                <w:bCs/>
                <w:lang w:val="en-ZA"/>
              </w:rPr>
            </w:pPr>
            <w:r w:rsidRPr="00E90E93">
              <w:rPr>
                <w:b/>
                <w:bCs/>
                <w:lang w:val="en-ZA"/>
              </w:rPr>
              <w:t>2</w:t>
            </w:r>
          </w:p>
        </w:tc>
        <w:tc>
          <w:tcPr>
            <w:tcW w:w="444" w:type="dxa"/>
          </w:tcPr>
          <w:p w14:paraId="50DDB164" w14:textId="668A87E1" w:rsidR="00AA2E5D" w:rsidRPr="00E90E93" w:rsidRDefault="00AA2E5D" w:rsidP="00AA2E5D">
            <w:pPr>
              <w:jc w:val="center"/>
              <w:rPr>
                <w:b/>
                <w:bCs/>
                <w:lang w:val="en-ZA"/>
              </w:rPr>
            </w:pPr>
            <w:r w:rsidRPr="00E90E93">
              <w:rPr>
                <w:b/>
                <w:bCs/>
                <w:lang w:val="en-ZA"/>
              </w:rPr>
              <w:t>3</w:t>
            </w:r>
          </w:p>
        </w:tc>
        <w:tc>
          <w:tcPr>
            <w:tcW w:w="443" w:type="dxa"/>
          </w:tcPr>
          <w:p w14:paraId="63EB1BF9" w14:textId="6B8BAB1C" w:rsidR="00AA2E5D" w:rsidRPr="00E90E93" w:rsidRDefault="00AA2E5D" w:rsidP="00AA2E5D">
            <w:pPr>
              <w:jc w:val="center"/>
              <w:rPr>
                <w:b/>
                <w:bCs/>
                <w:lang w:val="en-ZA"/>
              </w:rPr>
            </w:pPr>
            <w:r w:rsidRPr="00E90E93">
              <w:rPr>
                <w:b/>
                <w:bCs/>
                <w:lang w:val="en-ZA"/>
              </w:rPr>
              <w:t>4</w:t>
            </w:r>
          </w:p>
        </w:tc>
        <w:tc>
          <w:tcPr>
            <w:tcW w:w="444" w:type="dxa"/>
          </w:tcPr>
          <w:p w14:paraId="4D9D06B5" w14:textId="68305259" w:rsidR="00AA2E5D" w:rsidRPr="00E90E93" w:rsidRDefault="00AA2E5D" w:rsidP="00AA2E5D">
            <w:pPr>
              <w:jc w:val="center"/>
              <w:rPr>
                <w:b/>
                <w:bCs/>
                <w:lang w:val="en-ZA"/>
              </w:rPr>
            </w:pPr>
            <w:r w:rsidRPr="00E90E93">
              <w:rPr>
                <w:b/>
                <w:bCs/>
                <w:lang w:val="en-ZA"/>
              </w:rPr>
              <w:t>5</w:t>
            </w:r>
          </w:p>
        </w:tc>
      </w:tr>
      <w:tr w:rsidR="00AA2E5D" w14:paraId="046D8C26" w14:textId="77777777" w:rsidTr="00CF3DE7">
        <w:tc>
          <w:tcPr>
            <w:tcW w:w="6799" w:type="dxa"/>
          </w:tcPr>
          <w:p w14:paraId="609F37D9" w14:textId="56673F88" w:rsidR="00AA2E5D" w:rsidRPr="00AA2E5D" w:rsidRDefault="00AA2E5D" w:rsidP="00AA2E5D">
            <w:pPr>
              <w:pStyle w:val="ListParagraph"/>
              <w:numPr>
                <w:ilvl w:val="1"/>
                <w:numId w:val="4"/>
              </w:numPr>
              <w:jc w:val="left"/>
              <w:rPr>
                <w:lang w:val="en-ZA"/>
              </w:rPr>
            </w:pPr>
            <w:r>
              <w:rPr>
                <w:lang w:val="en-ZA"/>
              </w:rPr>
              <w:t>Staff c</w:t>
            </w:r>
            <w:r w:rsidRPr="007E3141">
              <w:rPr>
                <w:lang w:val="en-ZA"/>
              </w:rPr>
              <w:t>onduct</w:t>
            </w:r>
            <w:r>
              <w:rPr>
                <w:lang w:val="en-ZA"/>
              </w:rPr>
              <w:t xml:space="preserve"> (Code of Conduct)</w:t>
            </w:r>
          </w:p>
        </w:tc>
        <w:tc>
          <w:tcPr>
            <w:tcW w:w="443" w:type="dxa"/>
          </w:tcPr>
          <w:p w14:paraId="572E59BF" w14:textId="1F2E291C" w:rsidR="00AA2E5D" w:rsidRPr="00E90E93" w:rsidRDefault="00AA2E5D" w:rsidP="00AA2E5D">
            <w:pPr>
              <w:jc w:val="center"/>
              <w:rPr>
                <w:b/>
                <w:bCs/>
                <w:lang w:val="en-ZA"/>
              </w:rPr>
            </w:pPr>
            <w:r w:rsidRPr="00E90E93">
              <w:rPr>
                <w:b/>
                <w:bCs/>
                <w:lang w:val="en-ZA"/>
              </w:rPr>
              <w:t>1</w:t>
            </w:r>
          </w:p>
        </w:tc>
        <w:tc>
          <w:tcPr>
            <w:tcW w:w="443" w:type="dxa"/>
          </w:tcPr>
          <w:p w14:paraId="2835CD07" w14:textId="48EBEA91" w:rsidR="00AA2E5D" w:rsidRPr="00E90E93" w:rsidRDefault="00AA2E5D" w:rsidP="00AA2E5D">
            <w:pPr>
              <w:jc w:val="center"/>
              <w:rPr>
                <w:b/>
                <w:bCs/>
                <w:lang w:val="en-ZA"/>
              </w:rPr>
            </w:pPr>
            <w:r w:rsidRPr="00E90E93">
              <w:rPr>
                <w:b/>
                <w:bCs/>
                <w:lang w:val="en-ZA"/>
              </w:rPr>
              <w:t>2</w:t>
            </w:r>
          </w:p>
        </w:tc>
        <w:tc>
          <w:tcPr>
            <w:tcW w:w="444" w:type="dxa"/>
          </w:tcPr>
          <w:p w14:paraId="33075AD0" w14:textId="1D929CE3" w:rsidR="00AA2E5D" w:rsidRPr="00E90E93" w:rsidRDefault="00AA2E5D" w:rsidP="00AA2E5D">
            <w:pPr>
              <w:jc w:val="center"/>
              <w:rPr>
                <w:b/>
                <w:bCs/>
                <w:lang w:val="en-ZA"/>
              </w:rPr>
            </w:pPr>
            <w:r w:rsidRPr="00E90E93">
              <w:rPr>
                <w:b/>
                <w:bCs/>
                <w:lang w:val="en-ZA"/>
              </w:rPr>
              <w:t>3</w:t>
            </w:r>
          </w:p>
        </w:tc>
        <w:tc>
          <w:tcPr>
            <w:tcW w:w="443" w:type="dxa"/>
          </w:tcPr>
          <w:p w14:paraId="3C33AC2A" w14:textId="1C996CA2" w:rsidR="00AA2E5D" w:rsidRPr="00E90E93" w:rsidRDefault="00AA2E5D" w:rsidP="00AA2E5D">
            <w:pPr>
              <w:jc w:val="center"/>
              <w:rPr>
                <w:b/>
                <w:bCs/>
                <w:lang w:val="en-ZA"/>
              </w:rPr>
            </w:pPr>
            <w:r w:rsidRPr="00E90E93">
              <w:rPr>
                <w:b/>
                <w:bCs/>
                <w:lang w:val="en-ZA"/>
              </w:rPr>
              <w:t>4</w:t>
            </w:r>
          </w:p>
        </w:tc>
        <w:tc>
          <w:tcPr>
            <w:tcW w:w="444" w:type="dxa"/>
          </w:tcPr>
          <w:p w14:paraId="25608F7E" w14:textId="44E95739" w:rsidR="00AA2E5D" w:rsidRPr="00E90E93" w:rsidRDefault="00AA2E5D" w:rsidP="00AA2E5D">
            <w:pPr>
              <w:jc w:val="center"/>
              <w:rPr>
                <w:b/>
                <w:bCs/>
                <w:lang w:val="en-ZA"/>
              </w:rPr>
            </w:pPr>
            <w:r w:rsidRPr="00E90E93">
              <w:rPr>
                <w:b/>
                <w:bCs/>
                <w:lang w:val="en-ZA"/>
              </w:rPr>
              <w:t>5</w:t>
            </w:r>
          </w:p>
        </w:tc>
      </w:tr>
      <w:tr w:rsidR="00AA2E5D" w14:paraId="390769C7" w14:textId="77777777" w:rsidTr="00CF3DE7">
        <w:tc>
          <w:tcPr>
            <w:tcW w:w="6799" w:type="dxa"/>
          </w:tcPr>
          <w:p w14:paraId="4D53C642" w14:textId="204BF393" w:rsidR="00AA2E5D" w:rsidRPr="00AA2E5D" w:rsidRDefault="00AA2E5D" w:rsidP="00AA2E5D">
            <w:pPr>
              <w:pStyle w:val="ListParagraph"/>
              <w:numPr>
                <w:ilvl w:val="1"/>
                <w:numId w:val="4"/>
              </w:numPr>
              <w:jc w:val="left"/>
              <w:rPr>
                <w:lang w:val="en-ZA"/>
              </w:rPr>
            </w:pPr>
            <w:r>
              <w:rPr>
                <w:lang w:val="en-ZA"/>
              </w:rPr>
              <w:t>Staff mental health</w:t>
            </w:r>
          </w:p>
        </w:tc>
        <w:tc>
          <w:tcPr>
            <w:tcW w:w="443" w:type="dxa"/>
          </w:tcPr>
          <w:p w14:paraId="21E9B868" w14:textId="040D6165" w:rsidR="00AA2E5D" w:rsidRPr="00E90E93" w:rsidRDefault="00AA2E5D" w:rsidP="00AA2E5D">
            <w:pPr>
              <w:jc w:val="center"/>
              <w:rPr>
                <w:b/>
                <w:bCs/>
                <w:lang w:val="en-ZA"/>
              </w:rPr>
            </w:pPr>
            <w:r w:rsidRPr="00E90E93">
              <w:rPr>
                <w:b/>
                <w:bCs/>
                <w:lang w:val="en-ZA"/>
              </w:rPr>
              <w:t>1</w:t>
            </w:r>
          </w:p>
        </w:tc>
        <w:tc>
          <w:tcPr>
            <w:tcW w:w="443" w:type="dxa"/>
          </w:tcPr>
          <w:p w14:paraId="1E542CE0" w14:textId="105E06F5" w:rsidR="00AA2E5D" w:rsidRPr="00E90E93" w:rsidRDefault="00AA2E5D" w:rsidP="00AA2E5D">
            <w:pPr>
              <w:jc w:val="center"/>
              <w:rPr>
                <w:b/>
                <w:bCs/>
                <w:lang w:val="en-ZA"/>
              </w:rPr>
            </w:pPr>
            <w:r w:rsidRPr="00E90E93">
              <w:rPr>
                <w:b/>
                <w:bCs/>
                <w:lang w:val="en-ZA"/>
              </w:rPr>
              <w:t>2</w:t>
            </w:r>
          </w:p>
        </w:tc>
        <w:tc>
          <w:tcPr>
            <w:tcW w:w="444" w:type="dxa"/>
          </w:tcPr>
          <w:p w14:paraId="1E4A3E9B" w14:textId="023D9F61" w:rsidR="00AA2E5D" w:rsidRPr="00E90E93" w:rsidRDefault="00AA2E5D" w:rsidP="00AA2E5D">
            <w:pPr>
              <w:jc w:val="center"/>
              <w:rPr>
                <w:b/>
                <w:bCs/>
                <w:lang w:val="en-ZA"/>
              </w:rPr>
            </w:pPr>
            <w:r w:rsidRPr="00E90E93">
              <w:rPr>
                <w:b/>
                <w:bCs/>
                <w:lang w:val="en-ZA"/>
              </w:rPr>
              <w:t>3</w:t>
            </w:r>
          </w:p>
        </w:tc>
        <w:tc>
          <w:tcPr>
            <w:tcW w:w="443" w:type="dxa"/>
          </w:tcPr>
          <w:p w14:paraId="215080C0" w14:textId="1117EC76" w:rsidR="00AA2E5D" w:rsidRPr="00E90E93" w:rsidRDefault="00AA2E5D" w:rsidP="00AA2E5D">
            <w:pPr>
              <w:jc w:val="center"/>
              <w:rPr>
                <w:b/>
                <w:bCs/>
                <w:lang w:val="en-ZA"/>
              </w:rPr>
            </w:pPr>
            <w:r w:rsidRPr="00E90E93">
              <w:rPr>
                <w:b/>
                <w:bCs/>
                <w:lang w:val="en-ZA"/>
              </w:rPr>
              <w:t>4</w:t>
            </w:r>
          </w:p>
        </w:tc>
        <w:tc>
          <w:tcPr>
            <w:tcW w:w="444" w:type="dxa"/>
          </w:tcPr>
          <w:p w14:paraId="28680152" w14:textId="5DD72264" w:rsidR="00AA2E5D" w:rsidRPr="00E90E93" w:rsidRDefault="00AA2E5D" w:rsidP="00AA2E5D">
            <w:pPr>
              <w:jc w:val="center"/>
              <w:rPr>
                <w:b/>
                <w:bCs/>
                <w:lang w:val="en-ZA"/>
              </w:rPr>
            </w:pPr>
            <w:r w:rsidRPr="00E90E93">
              <w:rPr>
                <w:b/>
                <w:bCs/>
                <w:lang w:val="en-ZA"/>
              </w:rPr>
              <w:t>5</w:t>
            </w:r>
          </w:p>
        </w:tc>
      </w:tr>
      <w:tr w:rsidR="00AA2E5D" w14:paraId="3690578D" w14:textId="77777777" w:rsidTr="00CF3DE7">
        <w:tc>
          <w:tcPr>
            <w:tcW w:w="6799" w:type="dxa"/>
          </w:tcPr>
          <w:p w14:paraId="3672CAF2" w14:textId="09349282" w:rsidR="00AA2E5D" w:rsidRPr="00AA2E5D" w:rsidRDefault="00AA2E5D" w:rsidP="00AA2E5D">
            <w:pPr>
              <w:pStyle w:val="ListParagraph"/>
              <w:numPr>
                <w:ilvl w:val="1"/>
                <w:numId w:val="4"/>
              </w:numPr>
              <w:jc w:val="left"/>
              <w:rPr>
                <w:lang w:val="en-ZA"/>
              </w:rPr>
            </w:pPr>
            <w:r>
              <w:rPr>
                <w:lang w:val="en-ZA"/>
              </w:rPr>
              <w:t>Benefits and awards</w:t>
            </w:r>
          </w:p>
        </w:tc>
        <w:tc>
          <w:tcPr>
            <w:tcW w:w="443" w:type="dxa"/>
          </w:tcPr>
          <w:p w14:paraId="6CE064B4" w14:textId="4CF1C1C7" w:rsidR="00AA2E5D" w:rsidRPr="00E90E93" w:rsidRDefault="00AA2E5D" w:rsidP="00AA2E5D">
            <w:pPr>
              <w:jc w:val="center"/>
              <w:rPr>
                <w:b/>
                <w:bCs/>
                <w:lang w:val="en-ZA"/>
              </w:rPr>
            </w:pPr>
            <w:r w:rsidRPr="00E90E93">
              <w:rPr>
                <w:b/>
                <w:bCs/>
                <w:lang w:val="en-ZA"/>
              </w:rPr>
              <w:t>1</w:t>
            </w:r>
          </w:p>
        </w:tc>
        <w:tc>
          <w:tcPr>
            <w:tcW w:w="443" w:type="dxa"/>
          </w:tcPr>
          <w:p w14:paraId="77842F78" w14:textId="71A3CFCC" w:rsidR="00AA2E5D" w:rsidRPr="00E90E93" w:rsidRDefault="00AA2E5D" w:rsidP="00AA2E5D">
            <w:pPr>
              <w:jc w:val="center"/>
              <w:rPr>
                <w:b/>
                <w:bCs/>
                <w:lang w:val="en-ZA"/>
              </w:rPr>
            </w:pPr>
            <w:r w:rsidRPr="00E90E93">
              <w:rPr>
                <w:b/>
                <w:bCs/>
                <w:lang w:val="en-ZA"/>
              </w:rPr>
              <w:t>2</w:t>
            </w:r>
          </w:p>
        </w:tc>
        <w:tc>
          <w:tcPr>
            <w:tcW w:w="444" w:type="dxa"/>
          </w:tcPr>
          <w:p w14:paraId="251E05F5" w14:textId="3467C384" w:rsidR="00AA2E5D" w:rsidRPr="00E90E93" w:rsidRDefault="00AA2E5D" w:rsidP="00AA2E5D">
            <w:pPr>
              <w:jc w:val="center"/>
              <w:rPr>
                <w:b/>
                <w:bCs/>
                <w:lang w:val="en-ZA"/>
              </w:rPr>
            </w:pPr>
            <w:r w:rsidRPr="00E90E93">
              <w:rPr>
                <w:b/>
                <w:bCs/>
                <w:lang w:val="en-ZA"/>
              </w:rPr>
              <w:t>3</w:t>
            </w:r>
          </w:p>
        </w:tc>
        <w:tc>
          <w:tcPr>
            <w:tcW w:w="443" w:type="dxa"/>
          </w:tcPr>
          <w:p w14:paraId="0BD7491F" w14:textId="0BC462EB" w:rsidR="00AA2E5D" w:rsidRPr="00E90E93" w:rsidRDefault="00AA2E5D" w:rsidP="00AA2E5D">
            <w:pPr>
              <w:jc w:val="center"/>
              <w:rPr>
                <w:b/>
                <w:bCs/>
                <w:lang w:val="en-ZA"/>
              </w:rPr>
            </w:pPr>
            <w:r w:rsidRPr="00E90E93">
              <w:rPr>
                <w:b/>
                <w:bCs/>
                <w:lang w:val="en-ZA"/>
              </w:rPr>
              <w:t>4</w:t>
            </w:r>
          </w:p>
        </w:tc>
        <w:tc>
          <w:tcPr>
            <w:tcW w:w="444" w:type="dxa"/>
          </w:tcPr>
          <w:p w14:paraId="5D1CD7D1" w14:textId="08137B2F" w:rsidR="00AA2E5D" w:rsidRPr="00E90E93" w:rsidRDefault="00AA2E5D" w:rsidP="00AA2E5D">
            <w:pPr>
              <w:jc w:val="center"/>
              <w:rPr>
                <w:b/>
                <w:bCs/>
                <w:lang w:val="en-ZA"/>
              </w:rPr>
            </w:pPr>
            <w:r w:rsidRPr="00E90E93">
              <w:rPr>
                <w:b/>
                <w:bCs/>
                <w:lang w:val="en-ZA"/>
              </w:rPr>
              <w:t>5</w:t>
            </w:r>
          </w:p>
        </w:tc>
      </w:tr>
      <w:tr w:rsidR="00AA2E5D" w14:paraId="504AC74B" w14:textId="77777777" w:rsidTr="00CF3DE7">
        <w:tc>
          <w:tcPr>
            <w:tcW w:w="6799" w:type="dxa"/>
          </w:tcPr>
          <w:p w14:paraId="7D213647" w14:textId="72535190" w:rsidR="00AA2E5D" w:rsidRPr="00AA2E5D" w:rsidRDefault="00AA2E5D" w:rsidP="00AA2E5D">
            <w:pPr>
              <w:pStyle w:val="ListParagraph"/>
              <w:numPr>
                <w:ilvl w:val="1"/>
                <w:numId w:val="4"/>
              </w:numPr>
              <w:jc w:val="left"/>
              <w:rPr>
                <w:lang w:val="en-ZA"/>
              </w:rPr>
            </w:pPr>
            <w:r>
              <w:rPr>
                <w:lang w:val="en-ZA"/>
              </w:rPr>
              <w:t>Salary and promotion criteria</w:t>
            </w:r>
          </w:p>
        </w:tc>
        <w:tc>
          <w:tcPr>
            <w:tcW w:w="443" w:type="dxa"/>
          </w:tcPr>
          <w:p w14:paraId="7E2C2A2A" w14:textId="0B8C8946" w:rsidR="00AA2E5D" w:rsidRPr="00E90E93" w:rsidRDefault="00AA2E5D" w:rsidP="00AA2E5D">
            <w:pPr>
              <w:jc w:val="center"/>
              <w:rPr>
                <w:b/>
                <w:bCs/>
                <w:lang w:val="en-ZA"/>
              </w:rPr>
            </w:pPr>
            <w:r w:rsidRPr="00E90E93">
              <w:rPr>
                <w:b/>
                <w:bCs/>
                <w:lang w:val="en-ZA"/>
              </w:rPr>
              <w:t>1</w:t>
            </w:r>
          </w:p>
        </w:tc>
        <w:tc>
          <w:tcPr>
            <w:tcW w:w="443" w:type="dxa"/>
          </w:tcPr>
          <w:p w14:paraId="7F5A8E81" w14:textId="297AEC64" w:rsidR="00AA2E5D" w:rsidRPr="00E90E93" w:rsidRDefault="00AA2E5D" w:rsidP="00AA2E5D">
            <w:pPr>
              <w:jc w:val="center"/>
              <w:rPr>
                <w:b/>
                <w:bCs/>
                <w:lang w:val="en-ZA"/>
              </w:rPr>
            </w:pPr>
            <w:r w:rsidRPr="00E90E93">
              <w:rPr>
                <w:b/>
                <w:bCs/>
                <w:lang w:val="en-ZA"/>
              </w:rPr>
              <w:t>2</w:t>
            </w:r>
          </w:p>
        </w:tc>
        <w:tc>
          <w:tcPr>
            <w:tcW w:w="444" w:type="dxa"/>
          </w:tcPr>
          <w:p w14:paraId="5019F7CE" w14:textId="6BCB8760" w:rsidR="00AA2E5D" w:rsidRPr="00E90E93" w:rsidRDefault="00AA2E5D" w:rsidP="00AA2E5D">
            <w:pPr>
              <w:jc w:val="center"/>
              <w:rPr>
                <w:b/>
                <w:bCs/>
                <w:lang w:val="en-ZA"/>
              </w:rPr>
            </w:pPr>
            <w:r w:rsidRPr="00E90E93">
              <w:rPr>
                <w:b/>
                <w:bCs/>
                <w:lang w:val="en-ZA"/>
              </w:rPr>
              <w:t>3</w:t>
            </w:r>
          </w:p>
        </w:tc>
        <w:tc>
          <w:tcPr>
            <w:tcW w:w="443" w:type="dxa"/>
          </w:tcPr>
          <w:p w14:paraId="0F4466F1" w14:textId="7A155FEA" w:rsidR="00AA2E5D" w:rsidRPr="00E90E93" w:rsidRDefault="00AA2E5D" w:rsidP="00AA2E5D">
            <w:pPr>
              <w:jc w:val="center"/>
              <w:rPr>
                <w:b/>
                <w:bCs/>
                <w:lang w:val="en-ZA"/>
              </w:rPr>
            </w:pPr>
            <w:r w:rsidRPr="00E90E93">
              <w:rPr>
                <w:b/>
                <w:bCs/>
                <w:lang w:val="en-ZA"/>
              </w:rPr>
              <w:t>4</w:t>
            </w:r>
          </w:p>
        </w:tc>
        <w:tc>
          <w:tcPr>
            <w:tcW w:w="444" w:type="dxa"/>
          </w:tcPr>
          <w:p w14:paraId="4E2DDB81" w14:textId="210D7F88" w:rsidR="00AA2E5D" w:rsidRPr="00E90E93" w:rsidRDefault="00AA2E5D" w:rsidP="00AA2E5D">
            <w:pPr>
              <w:jc w:val="center"/>
              <w:rPr>
                <w:b/>
                <w:bCs/>
                <w:lang w:val="en-ZA"/>
              </w:rPr>
            </w:pPr>
            <w:r w:rsidRPr="00E90E93">
              <w:rPr>
                <w:b/>
                <w:bCs/>
                <w:lang w:val="en-ZA"/>
              </w:rPr>
              <w:t>5</w:t>
            </w:r>
          </w:p>
        </w:tc>
      </w:tr>
      <w:tr w:rsidR="00AA2E5D" w14:paraId="3DB267DC" w14:textId="77777777" w:rsidTr="00CF3DE7">
        <w:tc>
          <w:tcPr>
            <w:tcW w:w="6799" w:type="dxa"/>
          </w:tcPr>
          <w:p w14:paraId="3EBDAD26" w14:textId="00C5DD77" w:rsidR="00AA2E5D" w:rsidRPr="00AA2E5D" w:rsidRDefault="00AA2E5D" w:rsidP="00AA2E5D">
            <w:pPr>
              <w:pStyle w:val="ListParagraph"/>
              <w:numPr>
                <w:ilvl w:val="1"/>
                <w:numId w:val="4"/>
              </w:numPr>
              <w:jc w:val="left"/>
              <w:rPr>
                <w:lang w:val="en-ZA"/>
              </w:rPr>
            </w:pPr>
            <w:r>
              <w:rPr>
                <w:lang w:val="en-ZA"/>
              </w:rPr>
              <w:t>Conditions of Service (e.g., work hours, overtime, ending contractual agreements, etc.)</w:t>
            </w:r>
          </w:p>
        </w:tc>
        <w:tc>
          <w:tcPr>
            <w:tcW w:w="443" w:type="dxa"/>
          </w:tcPr>
          <w:p w14:paraId="0DA866F8" w14:textId="5B1A7660" w:rsidR="00AA2E5D" w:rsidRPr="00E90E93" w:rsidRDefault="00AA2E5D" w:rsidP="00AA2E5D">
            <w:pPr>
              <w:jc w:val="center"/>
              <w:rPr>
                <w:b/>
                <w:bCs/>
                <w:lang w:val="en-ZA"/>
              </w:rPr>
            </w:pPr>
            <w:r w:rsidRPr="00E90E93">
              <w:rPr>
                <w:b/>
                <w:bCs/>
                <w:lang w:val="en-ZA"/>
              </w:rPr>
              <w:t>1</w:t>
            </w:r>
          </w:p>
        </w:tc>
        <w:tc>
          <w:tcPr>
            <w:tcW w:w="443" w:type="dxa"/>
          </w:tcPr>
          <w:p w14:paraId="1082FB9B" w14:textId="213C3A7C" w:rsidR="00AA2E5D" w:rsidRPr="00E90E93" w:rsidRDefault="00AA2E5D" w:rsidP="00AA2E5D">
            <w:pPr>
              <w:jc w:val="center"/>
              <w:rPr>
                <w:b/>
                <w:bCs/>
                <w:lang w:val="en-ZA"/>
              </w:rPr>
            </w:pPr>
            <w:r w:rsidRPr="00E90E93">
              <w:rPr>
                <w:b/>
                <w:bCs/>
                <w:lang w:val="en-ZA"/>
              </w:rPr>
              <w:t>2</w:t>
            </w:r>
          </w:p>
        </w:tc>
        <w:tc>
          <w:tcPr>
            <w:tcW w:w="444" w:type="dxa"/>
          </w:tcPr>
          <w:p w14:paraId="0BFB360A" w14:textId="1E9C7952" w:rsidR="00AA2E5D" w:rsidRPr="00E90E93" w:rsidRDefault="00AA2E5D" w:rsidP="00AA2E5D">
            <w:pPr>
              <w:jc w:val="center"/>
              <w:rPr>
                <w:b/>
                <w:bCs/>
                <w:lang w:val="en-ZA"/>
              </w:rPr>
            </w:pPr>
            <w:r w:rsidRPr="00E90E93">
              <w:rPr>
                <w:b/>
                <w:bCs/>
                <w:lang w:val="en-ZA"/>
              </w:rPr>
              <w:t>3</w:t>
            </w:r>
          </w:p>
        </w:tc>
        <w:tc>
          <w:tcPr>
            <w:tcW w:w="443" w:type="dxa"/>
          </w:tcPr>
          <w:p w14:paraId="3F54D11C" w14:textId="73E70332" w:rsidR="00AA2E5D" w:rsidRPr="00E90E93" w:rsidRDefault="00AA2E5D" w:rsidP="00AA2E5D">
            <w:pPr>
              <w:jc w:val="center"/>
              <w:rPr>
                <w:b/>
                <w:bCs/>
                <w:lang w:val="en-ZA"/>
              </w:rPr>
            </w:pPr>
            <w:r w:rsidRPr="00E90E93">
              <w:rPr>
                <w:b/>
                <w:bCs/>
                <w:lang w:val="en-ZA"/>
              </w:rPr>
              <w:t>4</w:t>
            </w:r>
          </w:p>
        </w:tc>
        <w:tc>
          <w:tcPr>
            <w:tcW w:w="444" w:type="dxa"/>
          </w:tcPr>
          <w:p w14:paraId="33E6F0D8" w14:textId="00728F27" w:rsidR="00AA2E5D" w:rsidRPr="00E90E93" w:rsidRDefault="00AA2E5D" w:rsidP="00AA2E5D">
            <w:pPr>
              <w:jc w:val="center"/>
              <w:rPr>
                <w:b/>
                <w:bCs/>
                <w:lang w:val="en-ZA"/>
              </w:rPr>
            </w:pPr>
            <w:r w:rsidRPr="00E90E93">
              <w:rPr>
                <w:b/>
                <w:bCs/>
                <w:lang w:val="en-ZA"/>
              </w:rPr>
              <w:t>5</w:t>
            </w:r>
          </w:p>
        </w:tc>
      </w:tr>
      <w:tr w:rsidR="00AA2E5D" w14:paraId="2632A0F6" w14:textId="77777777" w:rsidTr="00CF3DE7">
        <w:tc>
          <w:tcPr>
            <w:tcW w:w="6799" w:type="dxa"/>
          </w:tcPr>
          <w:p w14:paraId="62F59978" w14:textId="4665B6A0" w:rsidR="00AA2E5D" w:rsidRPr="00AA2E5D" w:rsidRDefault="00AA2E5D" w:rsidP="00AA2E5D">
            <w:pPr>
              <w:pStyle w:val="ListParagraph"/>
              <w:numPr>
                <w:ilvl w:val="1"/>
                <w:numId w:val="4"/>
              </w:numPr>
              <w:jc w:val="left"/>
              <w:rPr>
                <w:lang w:val="en-ZA"/>
              </w:rPr>
            </w:pPr>
            <w:r>
              <w:rPr>
                <w:lang w:val="en-ZA"/>
              </w:rPr>
              <w:t>Disciplinary actions</w:t>
            </w:r>
          </w:p>
        </w:tc>
        <w:tc>
          <w:tcPr>
            <w:tcW w:w="443" w:type="dxa"/>
          </w:tcPr>
          <w:p w14:paraId="030D6EA2" w14:textId="6DEFE35A" w:rsidR="00AA2E5D" w:rsidRPr="00E90E93" w:rsidRDefault="00AA2E5D" w:rsidP="00AA2E5D">
            <w:pPr>
              <w:jc w:val="center"/>
              <w:rPr>
                <w:b/>
                <w:bCs/>
                <w:lang w:val="en-ZA"/>
              </w:rPr>
            </w:pPr>
            <w:r w:rsidRPr="00E90E93">
              <w:rPr>
                <w:b/>
                <w:bCs/>
                <w:lang w:val="en-ZA"/>
              </w:rPr>
              <w:t>1</w:t>
            </w:r>
          </w:p>
        </w:tc>
        <w:tc>
          <w:tcPr>
            <w:tcW w:w="443" w:type="dxa"/>
          </w:tcPr>
          <w:p w14:paraId="3559EEC1" w14:textId="26F1E810" w:rsidR="00AA2E5D" w:rsidRPr="00E90E93" w:rsidRDefault="00AA2E5D" w:rsidP="00AA2E5D">
            <w:pPr>
              <w:jc w:val="center"/>
              <w:rPr>
                <w:b/>
                <w:bCs/>
                <w:lang w:val="en-ZA"/>
              </w:rPr>
            </w:pPr>
            <w:r w:rsidRPr="00E90E93">
              <w:rPr>
                <w:b/>
                <w:bCs/>
                <w:lang w:val="en-ZA"/>
              </w:rPr>
              <w:t>2</w:t>
            </w:r>
          </w:p>
        </w:tc>
        <w:tc>
          <w:tcPr>
            <w:tcW w:w="444" w:type="dxa"/>
          </w:tcPr>
          <w:p w14:paraId="56293AE8" w14:textId="296064BD" w:rsidR="00AA2E5D" w:rsidRPr="00E90E93" w:rsidRDefault="00AA2E5D" w:rsidP="00AA2E5D">
            <w:pPr>
              <w:jc w:val="center"/>
              <w:rPr>
                <w:b/>
                <w:bCs/>
                <w:lang w:val="en-ZA"/>
              </w:rPr>
            </w:pPr>
            <w:r w:rsidRPr="00E90E93">
              <w:rPr>
                <w:b/>
                <w:bCs/>
                <w:lang w:val="en-ZA"/>
              </w:rPr>
              <w:t>3</w:t>
            </w:r>
          </w:p>
        </w:tc>
        <w:tc>
          <w:tcPr>
            <w:tcW w:w="443" w:type="dxa"/>
          </w:tcPr>
          <w:p w14:paraId="06C5AA21" w14:textId="72055F9A" w:rsidR="00AA2E5D" w:rsidRPr="00E90E93" w:rsidRDefault="00AA2E5D" w:rsidP="00AA2E5D">
            <w:pPr>
              <w:jc w:val="center"/>
              <w:rPr>
                <w:b/>
                <w:bCs/>
                <w:lang w:val="en-ZA"/>
              </w:rPr>
            </w:pPr>
            <w:r w:rsidRPr="00E90E93">
              <w:rPr>
                <w:b/>
                <w:bCs/>
                <w:lang w:val="en-ZA"/>
              </w:rPr>
              <w:t>4</w:t>
            </w:r>
          </w:p>
        </w:tc>
        <w:tc>
          <w:tcPr>
            <w:tcW w:w="444" w:type="dxa"/>
          </w:tcPr>
          <w:p w14:paraId="681C7147" w14:textId="533198F2" w:rsidR="00AA2E5D" w:rsidRPr="00E90E93" w:rsidRDefault="00AA2E5D" w:rsidP="00AA2E5D">
            <w:pPr>
              <w:jc w:val="center"/>
              <w:rPr>
                <w:b/>
                <w:bCs/>
                <w:lang w:val="en-ZA"/>
              </w:rPr>
            </w:pPr>
            <w:r w:rsidRPr="00E90E93">
              <w:rPr>
                <w:b/>
                <w:bCs/>
                <w:lang w:val="en-ZA"/>
              </w:rPr>
              <w:t>5</w:t>
            </w:r>
          </w:p>
        </w:tc>
      </w:tr>
      <w:tr w:rsidR="00AA2E5D" w14:paraId="6A613303" w14:textId="77777777" w:rsidTr="00CF3DE7">
        <w:tc>
          <w:tcPr>
            <w:tcW w:w="6799" w:type="dxa"/>
          </w:tcPr>
          <w:p w14:paraId="68186EB7" w14:textId="74211BE6" w:rsidR="00AA2E5D" w:rsidRPr="00AA2E5D" w:rsidRDefault="00AA2E5D" w:rsidP="00AA2E5D">
            <w:pPr>
              <w:pStyle w:val="ListParagraph"/>
              <w:numPr>
                <w:ilvl w:val="1"/>
                <w:numId w:val="4"/>
              </w:numPr>
              <w:jc w:val="left"/>
              <w:rPr>
                <w:lang w:val="en-ZA"/>
              </w:rPr>
            </w:pPr>
            <w:r>
              <w:rPr>
                <w:lang w:val="en-ZA"/>
              </w:rPr>
              <w:t>Occupational health and safety</w:t>
            </w:r>
          </w:p>
        </w:tc>
        <w:tc>
          <w:tcPr>
            <w:tcW w:w="443" w:type="dxa"/>
          </w:tcPr>
          <w:p w14:paraId="0C5C4E3B" w14:textId="14D413EC" w:rsidR="00AA2E5D" w:rsidRPr="00E90E93" w:rsidRDefault="00AA2E5D" w:rsidP="00AA2E5D">
            <w:pPr>
              <w:jc w:val="center"/>
              <w:rPr>
                <w:b/>
                <w:bCs/>
                <w:lang w:val="en-ZA"/>
              </w:rPr>
            </w:pPr>
            <w:r w:rsidRPr="00E90E93">
              <w:rPr>
                <w:b/>
                <w:bCs/>
                <w:lang w:val="en-ZA"/>
              </w:rPr>
              <w:t>1</w:t>
            </w:r>
          </w:p>
        </w:tc>
        <w:tc>
          <w:tcPr>
            <w:tcW w:w="443" w:type="dxa"/>
          </w:tcPr>
          <w:p w14:paraId="4C31F404" w14:textId="270CFF2E" w:rsidR="00AA2E5D" w:rsidRPr="00E90E93" w:rsidRDefault="00AA2E5D" w:rsidP="00AA2E5D">
            <w:pPr>
              <w:jc w:val="center"/>
              <w:rPr>
                <w:b/>
                <w:bCs/>
                <w:lang w:val="en-ZA"/>
              </w:rPr>
            </w:pPr>
            <w:r w:rsidRPr="00E90E93">
              <w:rPr>
                <w:b/>
                <w:bCs/>
                <w:lang w:val="en-ZA"/>
              </w:rPr>
              <w:t>2</w:t>
            </w:r>
          </w:p>
        </w:tc>
        <w:tc>
          <w:tcPr>
            <w:tcW w:w="444" w:type="dxa"/>
          </w:tcPr>
          <w:p w14:paraId="336B1B57" w14:textId="38A65543" w:rsidR="00AA2E5D" w:rsidRPr="00E90E93" w:rsidRDefault="00AA2E5D" w:rsidP="00AA2E5D">
            <w:pPr>
              <w:jc w:val="center"/>
              <w:rPr>
                <w:b/>
                <w:bCs/>
                <w:lang w:val="en-ZA"/>
              </w:rPr>
            </w:pPr>
            <w:r w:rsidRPr="00E90E93">
              <w:rPr>
                <w:b/>
                <w:bCs/>
                <w:lang w:val="en-ZA"/>
              </w:rPr>
              <w:t>3</w:t>
            </w:r>
          </w:p>
        </w:tc>
        <w:tc>
          <w:tcPr>
            <w:tcW w:w="443" w:type="dxa"/>
          </w:tcPr>
          <w:p w14:paraId="2F04A2F0" w14:textId="6021C51A" w:rsidR="00AA2E5D" w:rsidRPr="00E90E93" w:rsidRDefault="00AA2E5D" w:rsidP="00AA2E5D">
            <w:pPr>
              <w:jc w:val="center"/>
              <w:rPr>
                <w:b/>
                <w:bCs/>
                <w:lang w:val="en-ZA"/>
              </w:rPr>
            </w:pPr>
            <w:r w:rsidRPr="00E90E93">
              <w:rPr>
                <w:b/>
                <w:bCs/>
                <w:lang w:val="en-ZA"/>
              </w:rPr>
              <w:t>4</w:t>
            </w:r>
          </w:p>
        </w:tc>
        <w:tc>
          <w:tcPr>
            <w:tcW w:w="444" w:type="dxa"/>
          </w:tcPr>
          <w:p w14:paraId="5FEB8BDB" w14:textId="0A936784" w:rsidR="00AA2E5D" w:rsidRPr="00E90E93" w:rsidRDefault="00AA2E5D" w:rsidP="00AA2E5D">
            <w:pPr>
              <w:jc w:val="center"/>
              <w:rPr>
                <w:b/>
                <w:bCs/>
                <w:lang w:val="en-ZA"/>
              </w:rPr>
            </w:pPr>
            <w:r w:rsidRPr="00E90E93">
              <w:rPr>
                <w:b/>
                <w:bCs/>
                <w:lang w:val="en-ZA"/>
              </w:rPr>
              <w:t>5</w:t>
            </w:r>
          </w:p>
        </w:tc>
      </w:tr>
      <w:tr w:rsidR="00AA2E5D" w14:paraId="0A405D53" w14:textId="77777777" w:rsidTr="00CF3DE7">
        <w:tc>
          <w:tcPr>
            <w:tcW w:w="6799" w:type="dxa"/>
          </w:tcPr>
          <w:p w14:paraId="3398A665" w14:textId="040890D2" w:rsidR="00AA2E5D" w:rsidRPr="00AA2E5D" w:rsidRDefault="00AA2E5D" w:rsidP="00AA2E5D">
            <w:pPr>
              <w:pStyle w:val="ListParagraph"/>
              <w:numPr>
                <w:ilvl w:val="1"/>
                <w:numId w:val="4"/>
              </w:numPr>
              <w:jc w:val="left"/>
              <w:rPr>
                <w:lang w:val="en-ZA"/>
              </w:rPr>
            </w:pPr>
            <w:r>
              <w:rPr>
                <w:lang w:val="en-ZA"/>
              </w:rPr>
              <w:t>Staff development</w:t>
            </w:r>
          </w:p>
        </w:tc>
        <w:tc>
          <w:tcPr>
            <w:tcW w:w="443" w:type="dxa"/>
          </w:tcPr>
          <w:p w14:paraId="023440F2" w14:textId="773717E7" w:rsidR="00AA2E5D" w:rsidRPr="00E90E93" w:rsidRDefault="00AA2E5D" w:rsidP="00AA2E5D">
            <w:pPr>
              <w:jc w:val="center"/>
              <w:rPr>
                <w:b/>
                <w:bCs/>
                <w:lang w:val="en-ZA"/>
              </w:rPr>
            </w:pPr>
            <w:r w:rsidRPr="00E90E93">
              <w:rPr>
                <w:b/>
                <w:bCs/>
                <w:lang w:val="en-ZA"/>
              </w:rPr>
              <w:t>1</w:t>
            </w:r>
          </w:p>
        </w:tc>
        <w:tc>
          <w:tcPr>
            <w:tcW w:w="443" w:type="dxa"/>
          </w:tcPr>
          <w:p w14:paraId="29AC25A2" w14:textId="179CFD05" w:rsidR="00AA2E5D" w:rsidRPr="00E90E93" w:rsidRDefault="00AA2E5D" w:rsidP="00AA2E5D">
            <w:pPr>
              <w:jc w:val="center"/>
              <w:rPr>
                <w:b/>
                <w:bCs/>
                <w:lang w:val="en-ZA"/>
              </w:rPr>
            </w:pPr>
            <w:r w:rsidRPr="00E90E93">
              <w:rPr>
                <w:b/>
                <w:bCs/>
                <w:lang w:val="en-ZA"/>
              </w:rPr>
              <w:t>2</w:t>
            </w:r>
          </w:p>
        </w:tc>
        <w:tc>
          <w:tcPr>
            <w:tcW w:w="444" w:type="dxa"/>
          </w:tcPr>
          <w:p w14:paraId="4C2C87A7" w14:textId="7CA36548" w:rsidR="00AA2E5D" w:rsidRPr="00E90E93" w:rsidRDefault="00AA2E5D" w:rsidP="00AA2E5D">
            <w:pPr>
              <w:jc w:val="center"/>
              <w:rPr>
                <w:b/>
                <w:bCs/>
                <w:lang w:val="en-ZA"/>
              </w:rPr>
            </w:pPr>
            <w:r w:rsidRPr="00E90E93">
              <w:rPr>
                <w:b/>
                <w:bCs/>
                <w:lang w:val="en-ZA"/>
              </w:rPr>
              <w:t>3</w:t>
            </w:r>
          </w:p>
        </w:tc>
        <w:tc>
          <w:tcPr>
            <w:tcW w:w="443" w:type="dxa"/>
          </w:tcPr>
          <w:p w14:paraId="635CED4E" w14:textId="23716B67" w:rsidR="00AA2E5D" w:rsidRPr="00E90E93" w:rsidRDefault="00AA2E5D" w:rsidP="00AA2E5D">
            <w:pPr>
              <w:jc w:val="center"/>
              <w:rPr>
                <w:b/>
                <w:bCs/>
                <w:lang w:val="en-ZA"/>
              </w:rPr>
            </w:pPr>
            <w:r w:rsidRPr="00E90E93">
              <w:rPr>
                <w:b/>
                <w:bCs/>
                <w:lang w:val="en-ZA"/>
              </w:rPr>
              <w:t>4</w:t>
            </w:r>
          </w:p>
        </w:tc>
        <w:tc>
          <w:tcPr>
            <w:tcW w:w="444" w:type="dxa"/>
          </w:tcPr>
          <w:p w14:paraId="7F08A8CB" w14:textId="513205CA" w:rsidR="00AA2E5D" w:rsidRPr="00E90E93" w:rsidRDefault="00AA2E5D" w:rsidP="00AA2E5D">
            <w:pPr>
              <w:jc w:val="center"/>
              <w:rPr>
                <w:b/>
                <w:bCs/>
                <w:lang w:val="en-ZA"/>
              </w:rPr>
            </w:pPr>
            <w:r w:rsidRPr="00E90E93">
              <w:rPr>
                <w:b/>
                <w:bCs/>
                <w:lang w:val="en-ZA"/>
              </w:rPr>
              <w:t>5</w:t>
            </w:r>
          </w:p>
        </w:tc>
      </w:tr>
      <w:tr w:rsidR="00AA2E5D" w14:paraId="6DD9A9FA" w14:textId="77777777" w:rsidTr="00CF3DE7">
        <w:tc>
          <w:tcPr>
            <w:tcW w:w="6799" w:type="dxa"/>
          </w:tcPr>
          <w:p w14:paraId="73EE07E5" w14:textId="56C94B9F" w:rsidR="00AA2E5D" w:rsidRPr="00AA2E5D" w:rsidRDefault="00AA2E5D" w:rsidP="00AA2E5D">
            <w:pPr>
              <w:pStyle w:val="ListParagraph"/>
              <w:numPr>
                <w:ilvl w:val="1"/>
                <w:numId w:val="4"/>
              </w:numPr>
              <w:jc w:val="left"/>
              <w:rPr>
                <w:lang w:val="en-ZA"/>
              </w:rPr>
            </w:pPr>
            <w:r>
              <w:rPr>
                <w:lang w:val="en-ZA"/>
              </w:rPr>
              <w:t>Continuous Professional Development</w:t>
            </w:r>
          </w:p>
        </w:tc>
        <w:tc>
          <w:tcPr>
            <w:tcW w:w="443" w:type="dxa"/>
          </w:tcPr>
          <w:p w14:paraId="0DB1DF2B" w14:textId="6D6B7963" w:rsidR="00AA2E5D" w:rsidRPr="00E90E93" w:rsidRDefault="00AA2E5D" w:rsidP="00AA2E5D">
            <w:pPr>
              <w:jc w:val="center"/>
              <w:rPr>
                <w:b/>
                <w:bCs/>
                <w:lang w:val="en-ZA"/>
              </w:rPr>
            </w:pPr>
            <w:r w:rsidRPr="00E90E93">
              <w:rPr>
                <w:b/>
                <w:bCs/>
                <w:lang w:val="en-ZA"/>
              </w:rPr>
              <w:t>1</w:t>
            </w:r>
          </w:p>
        </w:tc>
        <w:tc>
          <w:tcPr>
            <w:tcW w:w="443" w:type="dxa"/>
          </w:tcPr>
          <w:p w14:paraId="7BCB3B93" w14:textId="4F1CCADE" w:rsidR="00AA2E5D" w:rsidRPr="00E90E93" w:rsidRDefault="00AA2E5D" w:rsidP="00AA2E5D">
            <w:pPr>
              <w:jc w:val="center"/>
              <w:rPr>
                <w:b/>
                <w:bCs/>
                <w:lang w:val="en-ZA"/>
              </w:rPr>
            </w:pPr>
            <w:r w:rsidRPr="00E90E93">
              <w:rPr>
                <w:b/>
                <w:bCs/>
                <w:lang w:val="en-ZA"/>
              </w:rPr>
              <w:t>2</w:t>
            </w:r>
          </w:p>
        </w:tc>
        <w:tc>
          <w:tcPr>
            <w:tcW w:w="444" w:type="dxa"/>
          </w:tcPr>
          <w:p w14:paraId="3EB97721" w14:textId="1E9F82E3" w:rsidR="00AA2E5D" w:rsidRPr="00E90E93" w:rsidRDefault="00AA2E5D" w:rsidP="00AA2E5D">
            <w:pPr>
              <w:jc w:val="center"/>
              <w:rPr>
                <w:b/>
                <w:bCs/>
                <w:lang w:val="en-ZA"/>
              </w:rPr>
            </w:pPr>
            <w:r w:rsidRPr="00E90E93">
              <w:rPr>
                <w:b/>
                <w:bCs/>
                <w:lang w:val="en-ZA"/>
              </w:rPr>
              <w:t>3</w:t>
            </w:r>
          </w:p>
        </w:tc>
        <w:tc>
          <w:tcPr>
            <w:tcW w:w="443" w:type="dxa"/>
          </w:tcPr>
          <w:p w14:paraId="6C1C0939" w14:textId="686D08F1" w:rsidR="00AA2E5D" w:rsidRPr="00E90E93" w:rsidRDefault="00AA2E5D" w:rsidP="00AA2E5D">
            <w:pPr>
              <w:jc w:val="center"/>
              <w:rPr>
                <w:b/>
                <w:bCs/>
                <w:lang w:val="en-ZA"/>
              </w:rPr>
            </w:pPr>
            <w:r w:rsidRPr="00E90E93">
              <w:rPr>
                <w:b/>
                <w:bCs/>
                <w:lang w:val="en-ZA"/>
              </w:rPr>
              <w:t>4</w:t>
            </w:r>
          </w:p>
        </w:tc>
        <w:tc>
          <w:tcPr>
            <w:tcW w:w="444" w:type="dxa"/>
          </w:tcPr>
          <w:p w14:paraId="0A9AC08D" w14:textId="39FCF485" w:rsidR="00AA2E5D" w:rsidRPr="00E90E93" w:rsidRDefault="00AA2E5D" w:rsidP="00AA2E5D">
            <w:pPr>
              <w:jc w:val="center"/>
              <w:rPr>
                <w:b/>
                <w:bCs/>
                <w:lang w:val="en-ZA"/>
              </w:rPr>
            </w:pPr>
            <w:r w:rsidRPr="00E90E93">
              <w:rPr>
                <w:b/>
                <w:bCs/>
                <w:lang w:val="en-ZA"/>
              </w:rPr>
              <w:t>5</w:t>
            </w:r>
          </w:p>
        </w:tc>
      </w:tr>
      <w:tr w:rsidR="00AA2E5D" w14:paraId="760178E4" w14:textId="77777777" w:rsidTr="00CF3DE7">
        <w:tc>
          <w:tcPr>
            <w:tcW w:w="6799" w:type="dxa"/>
          </w:tcPr>
          <w:p w14:paraId="3B7FCBA0" w14:textId="50A4531E" w:rsidR="00AA2E5D" w:rsidRDefault="00AA2E5D" w:rsidP="00AA2E5D">
            <w:pPr>
              <w:pStyle w:val="ListParagraph"/>
              <w:numPr>
                <w:ilvl w:val="1"/>
                <w:numId w:val="4"/>
              </w:numPr>
              <w:jc w:val="left"/>
              <w:rPr>
                <w:lang w:val="en-ZA"/>
              </w:rPr>
            </w:pPr>
            <w:r>
              <w:rPr>
                <w:lang w:val="en-ZA"/>
              </w:rPr>
              <w:t>Accessibility</w:t>
            </w:r>
          </w:p>
        </w:tc>
        <w:tc>
          <w:tcPr>
            <w:tcW w:w="443" w:type="dxa"/>
          </w:tcPr>
          <w:p w14:paraId="30B395E3" w14:textId="25C3AE8A" w:rsidR="00AA2E5D" w:rsidRPr="00E90E93" w:rsidRDefault="00AA2E5D" w:rsidP="00AA2E5D">
            <w:pPr>
              <w:jc w:val="center"/>
              <w:rPr>
                <w:b/>
                <w:bCs/>
                <w:lang w:val="en-ZA"/>
              </w:rPr>
            </w:pPr>
            <w:r w:rsidRPr="00E90E93">
              <w:rPr>
                <w:b/>
                <w:bCs/>
                <w:lang w:val="en-ZA"/>
              </w:rPr>
              <w:t>1</w:t>
            </w:r>
          </w:p>
        </w:tc>
        <w:tc>
          <w:tcPr>
            <w:tcW w:w="443" w:type="dxa"/>
          </w:tcPr>
          <w:p w14:paraId="7489FA5B" w14:textId="5F0B997B" w:rsidR="00AA2E5D" w:rsidRPr="00E90E93" w:rsidRDefault="00AA2E5D" w:rsidP="00AA2E5D">
            <w:pPr>
              <w:jc w:val="center"/>
              <w:rPr>
                <w:b/>
                <w:bCs/>
                <w:lang w:val="en-ZA"/>
              </w:rPr>
            </w:pPr>
            <w:r w:rsidRPr="00E90E93">
              <w:rPr>
                <w:b/>
                <w:bCs/>
                <w:lang w:val="en-ZA"/>
              </w:rPr>
              <w:t>2</w:t>
            </w:r>
          </w:p>
        </w:tc>
        <w:tc>
          <w:tcPr>
            <w:tcW w:w="444" w:type="dxa"/>
          </w:tcPr>
          <w:p w14:paraId="6C566D8A" w14:textId="5B0BEA1C" w:rsidR="00AA2E5D" w:rsidRPr="00E90E93" w:rsidRDefault="00AA2E5D" w:rsidP="00AA2E5D">
            <w:pPr>
              <w:jc w:val="center"/>
              <w:rPr>
                <w:b/>
                <w:bCs/>
                <w:lang w:val="en-ZA"/>
              </w:rPr>
            </w:pPr>
            <w:r w:rsidRPr="00E90E93">
              <w:rPr>
                <w:b/>
                <w:bCs/>
                <w:lang w:val="en-ZA"/>
              </w:rPr>
              <w:t>3</w:t>
            </w:r>
          </w:p>
        </w:tc>
        <w:tc>
          <w:tcPr>
            <w:tcW w:w="443" w:type="dxa"/>
          </w:tcPr>
          <w:p w14:paraId="4AB54A55" w14:textId="7321199F" w:rsidR="00AA2E5D" w:rsidRPr="00E90E93" w:rsidRDefault="00AA2E5D" w:rsidP="00AA2E5D">
            <w:pPr>
              <w:jc w:val="center"/>
              <w:rPr>
                <w:b/>
                <w:bCs/>
                <w:lang w:val="en-ZA"/>
              </w:rPr>
            </w:pPr>
            <w:r w:rsidRPr="00E90E93">
              <w:rPr>
                <w:b/>
                <w:bCs/>
                <w:lang w:val="en-ZA"/>
              </w:rPr>
              <w:t>4</w:t>
            </w:r>
          </w:p>
        </w:tc>
        <w:tc>
          <w:tcPr>
            <w:tcW w:w="444" w:type="dxa"/>
          </w:tcPr>
          <w:p w14:paraId="27F17AD1" w14:textId="57E0E6B7" w:rsidR="00AA2E5D" w:rsidRPr="00E90E93" w:rsidRDefault="00AA2E5D" w:rsidP="00AA2E5D">
            <w:pPr>
              <w:jc w:val="center"/>
              <w:rPr>
                <w:b/>
                <w:bCs/>
                <w:lang w:val="en-ZA"/>
              </w:rPr>
            </w:pPr>
            <w:r w:rsidRPr="00E90E93">
              <w:rPr>
                <w:b/>
                <w:bCs/>
                <w:lang w:val="en-ZA"/>
              </w:rPr>
              <w:t>5</w:t>
            </w:r>
          </w:p>
        </w:tc>
      </w:tr>
      <w:tr w:rsidR="00D46DFC" w14:paraId="146F2C18" w14:textId="77777777" w:rsidTr="00CF3DE7">
        <w:tc>
          <w:tcPr>
            <w:tcW w:w="6799" w:type="dxa"/>
          </w:tcPr>
          <w:p w14:paraId="404B7A46" w14:textId="049DE955" w:rsidR="00D46DFC" w:rsidRDefault="00D46DFC" w:rsidP="00041238">
            <w:pPr>
              <w:pStyle w:val="ListParagraph"/>
              <w:numPr>
                <w:ilvl w:val="0"/>
                <w:numId w:val="6"/>
              </w:numPr>
              <w:jc w:val="left"/>
              <w:rPr>
                <w:lang w:val="en-ZA"/>
              </w:rPr>
            </w:pPr>
            <w:r>
              <w:rPr>
                <w:lang w:val="en-ZA"/>
              </w:rPr>
              <w:t>HR policies are reviewed regularl</w:t>
            </w:r>
            <w:r w:rsidR="00FC0FDC">
              <w:rPr>
                <w:lang w:val="en-ZA"/>
              </w:rPr>
              <w:t>y (as indicated in policies)</w:t>
            </w:r>
          </w:p>
        </w:tc>
        <w:tc>
          <w:tcPr>
            <w:tcW w:w="443" w:type="dxa"/>
          </w:tcPr>
          <w:p w14:paraId="2A9E9FA4" w14:textId="68CF94AC" w:rsidR="00D46DFC" w:rsidRPr="00E90E93" w:rsidRDefault="00C34B0C" w:rsidP="00CA2738">
            <w:pPr>
              <w:jc w:val="center"/>
              <w:rPr>
                <w:b/>
                <w:bCs/>
                <w:lang w:val="en-ZA"/>
              </w:rPr>
            </w:pPr>
            <w:r>
              <w:rPr>
                <w:b/>
                <w:bCs/>
                <w:lang w:val="en-ZA"/>
              </w:rPr>
              <w:t>1</w:t>
            </w:r>
          </w:p>
        </w:tc>
        <w:tc>
          <w:tcPr>
            <w:tcW w:w="443" w:type="dxa"/>
          </w:tcPr>
          <w:p w14:paraId="225F2E65" w14:textId="7E876B23" w:rsidR="00D46DFC" w:rsidRPr="00E90E93" w:rsidRDefault="00C34B0C" w:rsidP="00CA2738">
            <w:pPr>
              <w:jc w:val="center"/>
              <w:rPr>
                <w:b/>
                <w:bCs/>
                <w:lang w:val="en-ZA"/>
              </w:rPr>
            </w:pPr>
            <w:r>
              <w:rPr>
                <w:b/>
                <w:bCs/>
                <w:lang w:val="en-ZA"/>
              </w:rPr>
              <w:t>2</w:t>
            </w:r>
          </w:p>
        </w:tc>
        <w:tc>
          <w:tcPr>
            <w:tcW w:w="444" w:type="dxa"/>
          </w:tcPr>
          <w:p w14:paraId="3883AE09" w14:textId="2C262A0F" w:rsidR="00D46DFC" w:rsidRPr="00E90E93" w:rsidRDefault="00C34B0C" w:rsidP="00CA2738">
            <w:pPr>
              <w:jc w:val="center"/>
              <w:rPr>
                <w:b/>
                <w:bCs/>
                <w:lang w:val="en-ZA"/>
              </w:rPr>
            </w:pPr>
            <w:r>
              <w:rPr>
                <w:b/>
                <w:bCs/>
                <w:lang w:val="en-ZA"/>
              </w:rPr>
              <w:t>3</w:t>
            </w:r>
          </w:p>
        </w:tc>
        <w:tc>
          <w:tcPr>
            <w:tcW w:w="443" w:type="dxa"/>
          </w:tcPr>
          <w:p w14:paraId="2EB864D7" w14:textId="4F283D2B" w:rsidR="00D46DFC" w:rsidRPr="00E90E93" w:rsidRDefault="00C34B0C" w:rsidP="00CA2738">
            <w:pPr>
              <w:jc w:val="center"/>
              <w:rPr>
                <w:b/>
                <w:bCs/>
                <w:lang w:val="en-ZA"/>
              </w:rPr>
            </w:pPr>
            <w:r>
              <w:rPr>
                <w:b/>
                <w:bCs/>
                <w:lang w:val="en-ZA"/>
              </w:rPr>
              <w:t>4</w:t>
            </w:r>
          </w:p>
        </w:tc>
        <w:tc>
          <w:tcPr>
            <w:tcW w:w="444" w:type="dxa"/>
          </w:tcPr>
          <w:p w14:paraId="73015036" w14:textId="55BF6B8B" w:rsidR="00D46DFC" w:rsidRPr="00E90E93" w:rsidRDefault="00C34B0C" w:rsidP="00CA2738">
            <w:pPr>
              <w:jc w:val="center"/>
              <w:rPr>
                <w:b/>
                <w:bCs/>
                <w:lang w:val="en-ZA"/>
              </w:rPr>
            </w:pPr>
            <w:r>
              <w:rPr>
                <w:b/>
                <w:bCs/>
                <w:lang w:val="en-ZA"/>
              </w:rPr>
              <w:t>5</w:t>
            </w:r>
          </w:p>
        </w:tc>
      </w:tr>
      <w:tr w:rsidR="00D6440C" w14:paraId="3FC14390" w14:textId="77777777" w:rsidTr="00CF3DE7">
        <w:tc>
          <w:tcPr>
            <w:tcW w:w="6799" w:type="dxa"/>
          </w:tcPr>
          <w:p w14:paraId="551FA618" w14:textId="6A9FB015" w:rsidR="00D6440C" w:rsidRPr="00CF3DE7" w:rsidRDefault="00D46DFC" w:rsidP="00041238">
            <w:pPr>
              <w:pStyle w:val="ListParagraph"/>
              <w:numPr>
                <w:ilvl w:val="0"/>
                <w:numId w:val="6"/>
              </w:numPr>
              <w:jc w:val="left"/>
              <w:rPr>
                <w:lang w:val="en-ZA"/>
              </w:rPr>
            </w:pPr>
            <w:r>
              <w:rPr>
                <w:lang w:val="en-ZA"/>
              </w:rPr>
              <w:t xml:space="preserve">All </w:t>
            </w:r>
            <w:r w:rsidR="00D6440C">
              <w:rPr>
                <w:lang w:val="en-ZA"/>
              </w:rPr>
              <w:t>HR policies are up to date</w:t>
            </w:r>
          </w:p>
        </w:tc>
        <w:tc>
          <w:tcPr>
            <w:tcW w:w="443" w:type="dxa"/>
          </w:tcPr>
          <w:p w14:paraId="3A33DBAF" w14:textId="4F428E14" w:rsidR="00D6440C" w:rsidRPr="00E90E93" w:rsidRDefault="00D6440C" w:rsidP="00CA2738">
            <w:pPr>
              <w:jc w:val="center"/>
              <w:rPr>
                <w:b/>
                <w:bCs/>
                <w:lang w:val="en-ZA"/>
              </w:rPr>
            </w:pPr>
            <w:r w:rsidRPr="00E90E93">
              <w:rPr>
                <w:b/>
                <w:bCs/>
                <w:lang w:val="en-ZA"/>
              </w:rPr>
              <w:t>1</w:t>
            </w:r>
          </w:p>
        </w:tc>
        <w:tc>
          <w:tcPr>
            <w:tcW w:w="443" w:type="dxa"/>
          </w:tcPr>
          <w:p w14:paraId="727F90CD" w14:textId="4751679D" w:rsidR="00D6440C" w:rsidRPr="00E90E93" w:rsidRDefault="00D6440C" w:rsidP="00CA2738">
            <w:pPr>
              <w:jc w:val="center"/>
              <w:rPr>
                <w:b/>
                <w:bCs/>
                <w:lang w:val="en-ZA"/>
              </w:rPr>
            </w:pPr>
            <w:r w:rsidRPr="00E90E93">
              <w:rPr>
                <w:b/>
                <w:bCs/>
                <w:lang w:val="en-ZA"/>
              </w:rPr>
              <w:t>2</w:t>
            </w:r>
          </w:p>
        </w:tc>
        <w:tc>
          <w:tcPr>
            <w:tcW w:w="444" w:type="dxa"/>
          </w:tcPr>
          <w:p w14:paraId="22E30C93" w14:textId="1900BD6A" w:rsidR="00D6440C" w:rsidRPr="00E90E93" w:rsidRDefault="00D6440C" w:rsidP="00CA2738">
            <w:pPr>
              <w:jc w:val="center"/>
              <w:rPr>
                <w:b/>
                <w:bCs/>
                <w:lang w:val="en-ZA"/>
              </w:rPr>
            </w:pPr>
            <w:r w:rsidRPr="00E90E93">
              <w:rPr>
                <w:b/>
                <w:bCs/>
                <w:lang w:val="en-ZA"/>
              </w:rPr>
              <w:t>3</w:t>
            </w:r>
          </w:p>
        </w:tc>
        <w:tc>
          <w:tcPr>
            <w:tcW w:w="443" w:type="dxa"/>
          </w:tcPr>
          <w:p w14:paraId="7B661FDE" w14:textId="4C6F5B02" w:rsidR="00D6440C" w:rsidRPr="00E90E93" w:rsidRDefault="00D6440C" w:rsidP="00CA2738">
            <w:pPr>
              <w:jc w:val="center"/>
              <w:rPr>
                <w:b/>
                <w:bCs/>
                <w:lang w:val="en-ZA"/>
              </w:rPr>
            </w:pPr>
            <w:r w:rsidRPr="00E90E93">
              <w:rPr>
                <w:b/>
                <w:bCs/>
                <w:lang w:val="en-ZA"/>
              </w:rPr>
              <w:t>4</w:t>
            </w:r>
          </w:p>
        </w:tc>
        <w:tc>
          <w:tcPr>
            <w:tcW w:w="444" w:type="dxa"/>
          </w:tcPr>
          <w:p w14:paraId="17E177E5" w14:textId="67032AD9" w:rsidR="00D6440C" w:rsidRPr="00E90E93" w:rsidRDefault="00D6440C" w:rsidP="00CA2738">
            <w:pPr>
              <w:jc w:val="center"/>
              <w:rPr>
                <w:b/>
                <w:bCs/>
                <w:lang w:val="en-ZA"/>
              </w:rPr>
            </w:pPr>
            <w:r w:rsidRPr="00E90E93">
              <w:rPr>
                <w:b/>
                <w:bCs/>
                <w:lang w:val="en-ZA"/>
              </w:rPr>
              <w:t>5</w:t>
            </w:r>
          </w:p>
        </w:tc>
      </w:tr>
      <w:tr w:rsidR="00E90E93" w14:paraId="46FF2E08" w14:textId="77777777" w:rsidTr="00CF3DE7">
        <w:tc>
          <w:tcPr>
            <w:tcW w:w="6799" w:type="dxa"/>
          </w:tcPr>
          <w:p w14:paraId="64EB2A54" w14:textId="60B59791" w:rsidR="00E90E93" w:rsidRPr="007E3141" w:rsidRDefault="00A616C1" w:rsidP="00041238">
            <w:pPr>
              <w:pStyle w:val="ListParagraph"/>
              <w:numPr>
                <w:ilvl w:val="0"/>
                <w:numId w:val="6"/>
              </w:numPr>
              <w:jc w:val="left"/>
              <w:rPr>
                <w:lang w:val="en-ZA"/>
              </w:rPr>
            </w:pPr>
            <w:r>
              <w:rPr>
                <w:lang w:val="en-ZA"/>
              </w:rPr>
              <w:t>There is a formal institutional structure overseeing the development</w:t>
            </w:r>
            <w:r w:rsidR="00DF6069">
              <w:rPr>
                <w:lang w:val="en-ZA"/>
              </w:rPr>
              <w:t>, review, and approval of policies</w:t>
            </w:r>
          </w:p>
        </w:tc>
        <w:tc>
          <w:tcPr>
            <w:tcW w:w="443" w:type="dxa"/>
          </w:tcPr>
          <w:p w14:paraId="2CC3B80D" w14:textId="5B8D8173" w:rsidR="00E90E93" w:rsidRDefault="00E90E93" w:rsidP="00CA2738">
            <w:pPr>
              <w:jc w:val="center"/>
              <w:rPr>
                <w:lang w:val="en-ZA"/>
              </w:rPr>
            </w:pPr>
            <w:r w:rsidRPr="00E90E93">
              <w:rPr>
                <w:b/>
                <w:bCs/>
                <w:lang w:val="en-ZA"/>
              </w:rPr>
              <w:t>1</w:t>
            </w:r>
          </w:p>
        </w:tc>
        <w:tc>
          <w:tcPr>
            <w:tcW w:w="443" w:type="dxa"/>
          </w:tcPr>
          <w:p w14:paraId="6B7894E6" w14:textId="5EABF40A" w:rsidR="00E90E93" w:rsidRDefault="00E90E93" w:rsidP="00CA2738">
            <w:pPr>
              <w:jc w:val="center"/>
              <w:rPr>
                <w:lang w:val="en-ZA"/>
              </w:rPr>
            </w:pPr>
            <w:r w:rsidRPr="00E90E93">
              <w:rPr>
                <w:b/>
                <w:bCs/>
                <w:lang w:val="en-ZA"/>
              </w:rPr>
              <w:t>2</w:t>
            </w:r>
          </w:p>
        </w:tc>
        <w:tc>
          <w:tcPr>
            <w:tcW w:w="444" w:type="dxa"/>
          </w:tcPr>
          <w:p w14:paraId="0BF53504" w14:textId="05BE069E" w:rsidR="00E90E93" w:rsidRDefault="00E90E93" w:rsidP="00CA2738">
            <w:pPr>
              <w:jc w:val="center"/>
              <w:rPr>
                <w:lang w:val="en-ZA"/>
              </w:rPr>
            </w:pPr>
            <w:r w:rsidRPr="00E90E93">
              <w:rPr>
                <w:b/>
                <w:bCs/>
                <w:lang w:val="en-ZA"/>
              </w:rPr>
              <w:t>3</w:t>
            </w:r>
          </w:p>
        </w:tc>
        <w:tc>
          <w:tcPr>
            <w:tcW w:w="443" w:type="dxa"/>
          </w:tcPr>
          <w:p w14:paraId="58FF9EDD" w14:textId="66108CD9" w:rsidR="00E90E93" w:rsidRDefault="00E90E93" w:rsidP="00CA2738">
            <w:pPr>
              <w:jc w:val="center"/>
              <w:rPr>
                <w:lang w:val="en-ZA"/>
              </w:rPr>
            </w:pPr>
            <w:r w:rsidRPr="00E90E93">
              <w:rPr>
                <w:b/>
                <w:bCs/>
                <w:lang w:val="en-ZA"/>
              </w:rPr>
              <w:t>4</w:t>
            </w:r>
          </w:p>
        </w:tc>
        <w:tc>
          <w:tcPr>
            <w:tcW w:w="444" w:type="dxa"/>
          </w:tcPr>
          <w:p w14:paraId="617E57E7" w14:textId="23F85C8A" w:rsidR="00E90E93" w:rsidRDefault="00E90E93" w:rsidP="00CA2738">
            <w:pPr>
              <w:jc w:val="center"/>
              <w:rPr>
                <w:lang w:val="en-ZA"/>
              </w:rPr>
            </w:pPr>
            <w:r w:rsidRPr="00E90E93">
              <w:rPr>
                <w:b/>
                <w:bCs/>
                <w:lang w:val="en-ZA"/>
              </w:rPr>
              <w:t>5</w:t>
            </w:r>
          </w:p>
        </w:tc>
      </w:tr>
      <w:tr w:rsidR="00E90E93" w14:paraId="10F07555" w14:textId="77777777" w:rsidTr="00CF3DE7">
        <w:tc>
          <w:tcPr>
            <w:tcW w:w="6799" w:type="dxa"/>
          </w:tcPr>
          <w:p w14:paraId="4695BF13" w14:textId="426491DB" w:rsidR="00E90E93" w:rsidRPr="00F92798" w:rsidRDefault="00DF6069" w:rsidP="00041238">
            <w:pPr>
              <w:pStyle w:val="ListParagraph"/>
              <w:numPr>
                <w:ilvl w:val="0"/>
                <w:numId w:val="6"/>
              </w:numPr>
              <w:jc w:val="left"/>
              <w:rPr>
                <w:lang w:val="en-ZA"/>
              </w:rPr>
            </w:pPr>
            <w:r>
              <w:rPr>
                <w:lang w:val="en-ZA"/>
              </w:rPr>
              <w:t xml:space="preserve">There are </w:t>
            </w:r>
            <w:r w:rsidR="00795DAB">
              <w:rPr>
                <w:lang w:val="en-ZA"/>
              </w:rPr>
              <w:t>clear processes t</w:t>
            </w:r>
            <w:r w:rsidR="00993A20">
              <w:rPr>
                <w:lang w:val="en-ZA"/>
              </w:rPr>
              <w:t xml:space="preserve">hat encourage </w:t>
            </w:r>
            <w:r w:rsidR="00795DAB">
              <w:rPr>
                <w:lang w:val="en-ZA"/>
              </w:rPr>
              <w:t>all staff to provide inputs to polic</w:t>
            </w:r>
            <w:r w:rsidR="00993A20">
              <w:rPr>
                <w:lang w:val="en-ZA"/>
              </w:rPr>
              <w:t>ies</w:t>
            </w:r>
          </w:p>
        </w:tc>
        <w:tc>
          <w:tcPr>
            <w:tcW w:w="443" w:type="dxa"/>
          </w:tcPr>
          <w:p w14:paraId="79D01164" w14:textId="0A02EFB4" w:rsidR="00E90E93" w:rsidRDefault="00E90E93" w:rsidP="00CA2738">
            <w:pPr>
              <w:jc w:val="center"/>
              <w:rPr>
                <w:lang w:val="en-ZA"/>
              </w:rPr>
            </w:pPr>
            <w:r w:rsidRPr="00E90E93">
              <w:rPr>
                <w:b/>
                <w:bCs/>
                <w:lang w:val="en-ZA"/>
              </w:rPr>
              <w:t>1</w:t>
            </w:r>
          </w:p>
        </w:tc>
        <w:tc>
          <w:tcPr>
            <w:tcW w:w="443" w:type="dxa"/>
          </w:tcPr>
          <w:p w14:paraId="3E383332" w14:textId="2DB29080" w:rsidR="00E90E93" w:rsidRDefault="00E90E93" w:rsidP="00CA2738">
            <w:pPr>
              <w:jc w:val="center"/>
              <w:rPr>
                <w:lang w:val="en-ZA"/>
              </w:rPr>
            </w:pPr>
            <w:r w:rsidRPr="00E90E93">
              <w:rPr>
                <w:b/>
                <w:bCs/>
                <w:lang w:val="en-ZA"/>
              </w:rPr>
              <w:t>2</w:t>
            </w:r>
          </w:p>
        </w:tc>
        <w:tc>
          <w:tcPr>
            <w:tcW w:w="444" w:type="dxa"/>
          </w:tcPr>
          <w:p w14:paraId="0D10E766" w14:textId="365E5C9C" w:rsidR="00E90E93" w:rsidRDefault="00E90E93" w:rsidP="00CA2738">
            <w:pPr>
              <w:jc w:val="center"/>
              <w:rPr>
                <w:lang w:val="en-ZA"/>
              </w:rPr>
            </w:pPr>
            <w:r w:rsidRPr="00E90E93">
              <w:rPr>
                <w:b/>
                <w:bCs/>
                <w:lang w:val="en-ZA"/>
              </w:rPr>
              <w:t>3</w:t>
            </w:r>
          </w:p>
        </w:tc>
        <w:tc>
          <w:tcPr>
            <w:tcW w:w="443" w:type="dxa"/>
          </w:tcPr>
          <w:p w14:paraId="5C89EC8D" w14:textId="5D13ABE7" w:rsidR="00E90E93" w:rsidRDefault="00E90E93" w:rsidP="00CA2738">
            <w:pPr>
              <w:jc w:val="center"/>
              <w:rPr>
                <w:lang w:val="en-ZA"/>
              </w:rPr>
            </w:pPr>
            <w:r w:rsidRPr="00E90E93">
              <w:rPr>
                <w:b/>
                <w:bCs/>
                <w:lang w:val="en-ZA"/>
              </w:rPr>
              <w:t>4</w:t>
            </w:r>
          </w:p>
        </w:tc>
        <w:tc>
          <w:tcPr>
            <w:tcW w:w="444" w:type="dxa"/>
          </w:tcPr>
          <w:p w14:paraId="3244B56A" w14:textId="56B6B7F3" w:rsidR="00E90E93" w:rsidRDefault="00E90E93" w:rsidP="00CA2738">
            <w:pPr>
              <w:jc w:val="center"/>
              <w:rPr>
                <w:lang w:val="en-ZA"/>
              </w:rPr>
            </w:pPr>
            <w:r w:rsidRPr="00E90E93">
              <w:rPr>
                <w:b/>
                <w:bCs/>
                <w:lang w:val="en-ZA"/>
              </w:rPr>
              <w:t>5</w:t>
            </w:r>
          </w:p>
        </w:tc>
      </w:tr>
      <w:tr w:rsidR="00993A20" w14:paraId="60BA6907" w14:textId="77777777" w:rsidTr="00CF3DE7">
        <w:tc>
          <w:tcPr>
            <w:tcW w:w="6799" w:type="dxa"/>
          </w:tcPr>
          <w:p w14:paraId="3D1A7A25" w14:textId="77C347BF" w:rsidR="00993A20" w:rsidRDefault="00993A20" w:rsidP="00041238">
            <w:pPr>
              <w:pStyle w:val="ListParagraph"/>
              <w:numPr>
                <w:ilvl w:val="0"/>
                <w:numId w:val="6"/>
              </w:numPr>
              <w:jc w:val="left"/>
              <w:rPr>
                <w:lang w:val="en-ZA"/>
              </w:rPr>
            </w:pPr>
            <w:r>
              <w:rPr>
                <w:lang w:val="en-ZA"/>
              </w:rPr>
              <w:t>St</w:t>
            </w:r>
            <w:r w:rsidR="005F1494">
              <w:rPr>
                <w:lang w:val="en-ZA"/>
              </w:rPr>
              <w:t>aff are generally active participants in policy creation and review processes</w:t>
            </w:r>
          </w:p>
        </w:tc>
        <w:tc>
          <w:tcPr>
            <w:tcW w:w="443" w:type="dxa"/>
          </w:tcPr>
          <w:p w14:paraId="3BCCA7C5" w14:textId="7B718BDF" w:rsidR="00993A20" w:rsidRPr="00E90E93" w:rsidRDefault="00C861B4" w:rsidP="00CA2738">
            <w:pPr>
              <w:jc w:val="center"/>
              <w:rPr>
                <w:b/>
                <w:bCs/>
                <w:lang w:val="en-ZA"/>
              </w:rPr>
            </w:pPr>
            <w:r>
              <w:rPr>
                <w:b/>
                <w:bCs/>
                <w:lang w:val="en-ZA"/>
              </w:rPr>
              <w:t>1</w:t>
            </w:r>
          </w:p>
        </w:tc>
        <w:tc>
          <w:tcPr>
            <w:tcW w:w="443" w:type="dxa"/>
          </w:tcPr>
          <w:p w14:paraId="354D1199" w14:textId="4E0FE4AB" w:rsidR="00993A20" w:rsidRPr="00E90E93" w:rsidRDefault="00C861B4" w:rsidP="00CA2738">
            <w:pPr>
              <w:jc w:val="center"/>
              <w:rPr>
                <w:b/>
                <w:bCs/>
                <w:lang w:val="en-ZA"/>
              </w:rPr>
            </w:pPr>
            <w:r>
              <w:rPr>
                <w:b/>
                <w:bCs/>
                <w:lang w:val="en-ZA"/>
              </w:rPr>
              <w:t>2</w:t>
            </w:r>
          </w:p>
        </w:tc>
        <w:tc>
          <w:tcPr>
            <w:tcW w:w="444" w:type="dxa"/>
          </w:tcPr>
          <w:p w14:paraId="68A8FD09" w14:textId="52C45B4C" w:rsidR="00993A20" w:rsidRPr="00E90E93" w:rsidRDefault="00C861B4" w:rsidP="00CA2738">
            <w:pPr>
              <w:jc w:val="center"/>
              <w:rPr>
                <w:b/>
                <w:bCs/>
                <w:lang w:val="en-ZA"/>
              </w:rPr>
            </w:pPr>
            <w:r>
              <w:rPr>
                <w:b/>
                <w:bCs/>
                <w:lang w:val="en-ZA"/>
              </w:rPr>
              <w:t>3</w:t>
            </w:r>
          </w:p>
        </w:tc>
        <w:tc>
          <w:tcPr>
            <w:tcW w:w="443" w:type="dxa"/>
          </w:tcPr>
          <w:p w14:paraId="36003609" w14:textId="51EF5105" w:rsidR="00993A20" w:rsidRPr="00E90E93" w:rsidRDefault="00C861B4" w:rsidP="00CA2738">
            <w:pPr>
              <w:jc w:val="center"/>
              <w:rPr>
                <w:b/>
                <w:bCs/>
                <w:lang w:val="en-ZA"/>
              </w:rPr>
            </w:pPr>
            <w:r>
              <w:rPr>
                <w:b/>
                <w:bCs/>
                <w:lang w:val="en-ZA"/>
              </w:rPr>
              <w:t>4</w:t>
            </w:r>
          </w:p>
        </w:tc>
        <w:tc>
          <w:tcPr>
            <w:tcW w:w="444" w:type="dxa"/>
          </w:tcPr>
          <w:p w14:paraId="4125C319" w14:textId="6504018F" w:rsidR="00993A20" w:rsidRPr="00E90E93" w:rsidRDefault="00C861B4" w:rsidP="00CA2738">
            <w:pPr>
              <w:jc w:val="center"/>
              <w:rPr>
                <w:b/>
                <w:bCs/>
                <w:lang w:val="en-ZA"/>
              </w:rPr>
            </w:pPr>
            <w:r>
              <w:rPr>
                <w:b/>
                <w:bCs/>
                <w:lang w:val="en-ZA"/>
              </w:rPr>
              <w:t>5</w:t>
            </w:r>
          </w:p>
        </w:tc>
      </w:tr>
      <w:tr w:rsidR="00E90E93" w14:paraId="0F8D54AD" w14:textId="77777777" w:rsidTr="00CF3DE7">
        <w:tc>
          <w:tcPr>
            <w:tcW w:w="6799" w:type="dxa"/>
          </w:tcPr>
          <w:p w14:paraId="73D1FED7" w14:textId="57C76931" w:rsidR="00E90E93" w:rsidRPr="00795DAB" w:rsidRDefault="00682615" w:rsidP="00041238">
            <w:pPr>
              <w:pStyle w:val="ListParagraph"/>
              <w:numPr>
                <w:ilvl w:val="0"/>
                <w:numId w:val="6"/>
              </w:numPr>
              <w:jc w:val="left"/>
              <w:rPr>
                <w:lang w:val="en-ZA"/>
              </w:rPr>
            </w:pPr>
            <w:r>
              <w:rPr>
                <w:lang w:val="en-ZA"/>
              </w:rPr>
              <w:t>New staff receive orientation on HR policies</w:t>
            </w:r>
          </w:p>
        </w:tc>
        <w:tc>
          <w:tcPr>
            <w:tcW w:w="443" w:type="dxa"/>
          </w:tcPr>
          <w:p w14:paraId="5A2A6A73" w14:textId="3ABBC8DC" w:rsidR="00E90E93" w:rsidRDefault="00E90E93" w:rsidP="00CA2738">
            <w:pPr>
              <w:jc w:val="center"/>
              <w:rPr>
                <w:lang w:val="en-ZA"/>
              </w:rPr>
            </w:pPr>
            <w:r w:rsidRPr="00E90E93">
              <w:rPr>
                <w:b/>
                <w:bCs/>
                <w:lang w:val="en-ZA"/>
              </w:rPr>
              <w:t>1</w:t>
            </w:r>
          </w:p>
        </w:tc>
        <w:tc>
          <w:tcPr>
            <w:tcW w:w="443" w:type="dxa"/>
          </w:tcPr>
          <w:p w14:paraId="2842B0CB" w14:textId="511562C2" w:rsidR="00E90E93" w:rsidRDefault="00E90E93" w:rsidP="00CA2738">
            <w:pPr>
              <w:jc w:val="center"/>
              <w:rPr>
                <w:lang w:val="en-ZA"/>
              </w:rPr>
            </w:pPr>
            <w:r w:rsidRPr="00E90E93">
              <w:rPr>
                <w:b/>
                <w:bCs/>
                <w:lang w:val="en-ZA"/>
              </w:rPr>
              <w:t>2</w:t>
            </w:r>
          </w:p>
        </w:tc>
        <w:tc>
          <w:tcPr>
            <w:tcW w:w="444" w:type="dxa"/>
          </w:tcPr>
          <w:p w14:paraId="21852E9E" w14:textId="3C7A8737" w:rsidR="00E90E93" w:rsidRDefault="00E90E93" w:rsidP="00CA2738">
            <w:pPr>
              <w:jc w:val="center"/>
              <w:rPr>
                <w:lang w:val="en-ZA"/>
              </w:rPr>
            </w:pPr>
            <w:r w:rsidRPr="00E90E93">
              <w:rPr>
                <w:b/>
                <w:bCs/>
                <w:lang w:val="en-ZA"/>
              </w:rPr>
              <w:t>3</w:t>
            </w:r>
          </w:p>
        </w:tc>
        <w:tc>
          <w:tcPr>
            <w:tcW w:w="443" w:type="dxa"/>
          </w:tcPr>
          <w:p w14:paraId="0D5A3932" w14:textId="43A2218C" w:rsidR="00E90E93" w:rsidRDefault="00E90E93" w:rsidP="00CA2738">
            <w:pPr>
              <w:jc w:val="center"/>
              <w:rPr>
                <w:lang w:val="en-ZA"/>
              </w:rPr>
            </w:pPr>
            <w:r w:rsidRPr="00E90E93">
              <w:rPr>
                <w:b/>
                <w:bCs/>
                <w:lang w:val="en-ZA"/>
              </w:rPr>
              <w:t>4</w:t>
            </w:r>
          </w:p>
        </w:tc>
        <w:tc>
          <w:tcPr>
            <w:tcW w:w="444" w:type="dxa"/>
          </w:tcPr>
          <w:p w14:paraId="5950E5D0" w14:textId="3DEDC629" w:rsidR="00E90E93" w:rsidRDefault="00E90E93" w:rsidP="00CA2738">
            <w:pPr>
              <w:jc w:val="center"/>
              <w:rPr>
                <w:lang w:val="en-ZA"/>
              </w:rPr>
            </w:pPr>
            <w:r w:rsidRPr="00E90E93">
              <w:rPr>
                <w:b/>
                <w:bCs/>
                <w:lang w:val="en-ZA"/>
              </w:rPr>
              <w:t>5</w:t>
            </w:r>
          </w:p>
        </w:tc>
      </w:tr>
      <w:tr w:rsidR="00D6440C" w14:paraId="5D7C4EA0" w14:textId="77777777" w:rsidTr="00CF3DE7">
        <w:tc>
          <w:tcPr>
            <w:tcW w:w="6799" w:type="dxa"/>
          </w:tcPr>
          <w:p w14:paraId="0D467BD5" w14:textId="66D753EA" w:rsidR="00D6440C" w:rsidRDefault="005F1494" w:rsidP="00041238">
            <w:pPr>
              <w:pStyle w:val="ListParagraph"/>
              <w:numPr>
                <w:ilvl w:val="0"/>
                <w:numId w:val="6"/>
              </w:numPr>
              <w:jc w:val="left"/>
              <w:rPr>
                <w:lang w:val="en-ZA"/>
              </w:rPr>
            </w:pPr>
            <w:r>
              <w:rPr>
                <w:lang w:val="en-ZA"/>
              </w:rPr>
              <w:t>HR p</w:t>
            </w:r>
            <w:r w:rsidR="00D6440C">
              <w:rPr>
                <w:lang w:val="en-ZA"/>
              </w:rPr>
              <w:t>olicies are easily accessible to all staff</w:t>
            </w:r>
          </w:p>
        </w:tc>
        <w:tc>
          <w:tcPr>
            <w:tcW w:w="443" w:type="dxa"/>
          </w:tcPr>
          <w:p w14:paraId="640941F0" w14:textId="2667DC53" w:rsidR="00D6440C" w:rsidRPr="00E90E93" w:rsidRDefault="00D6440C" w:rsidP="00CA2738">
            <w:pPr>
              <w:jc w:val="center"/>
              <w:rPr>
                <w:b/>
                <w:bCs/>
                <w:lang w:val="en-ZA"/>
              </w:rPr>
            </w:pPr>
            <w:r w:rsidRPr="00E90E93">
              <w:rPr>
                <w:b/>
                <w:bCs/>
                <w:lang w:val="en-ZA"/>
              </w:rPr>
              <w:t>1</w:t>
            </w:r>
          </w:p>
        </w:tc>
        <w:tc>
          <w:tcPr>
            <w:tcW w:w="443" w:type="dxa"/>
          </w:tcPr>
          <w:p w14:paraId="523390CB" w14:textId="797C29A0" w:rsidR="00D6440C" w:rsidRPr="00E90E93" w:rsidRDefault="00D6440C" w:rsidP="00CA2738">
            <w:pPr>
              <w:jc w:val="center"/>
              <w:rPr>
                <w:b/>
                <w:bCs/>
                <w:lang w:val="en-ZA"/>
              </w:rPr>
            </w:pPr>
            <w:r w:rsidRPr="00E90E93">
              <w:rPr>
                <w:b/>
                <w:bCs/>
                <w:lang w:val="en-ZA"/>
              </w:rPr>
              <w:t>2</w:t>
            </w:r>
          </w:p>
        </w:tc>
        <w:tc>
          <w:tcPr>
            <w:tcW w:w="444" w:type="dxa"/>
          </w:tcPr>
          <w:p w14:paraId="1F469836" w14:textId="2B55D849" w:rsidR="00D6440C" w:rsidRPr="00E90E93" w:rsidRDefault="00D6440C" w:rsidP="00CA2738">
            <w:pPr>
              <w:jc w:val="center"/>
              <w:rPr>
                <w:b/>
                <w:bCs/>
                <w:lang w:val="en-ZA"/>
              </w:rPr>
            </w:pPr>
            <w:r w:rsidRPr="00E90E93">
              <w:rPr>
                <w:b/>
                <w:bCs/>
                <w:lang w:val="en-ZA"/>
              </w:rPr>
              <w:t>3</w:t>
            </w:r>
          </w:p>
        </w:tc>
        <w:tc>
          <w:tcPr>
            <w:tcW w:w="443" w:type="dxa"/>
          </w:tcPr>
          <w:p w14:paraId="724A08A3" w14:textId="1757376C" w:rsidR="00D6440C" w:rsidRPr="00E90E93" w:rsidRDefault="00D6440C" w:rsidP="00CA2738">
            <w:pPr>
              <w:jc w:val="center"/>
              <w:rPr>
                <w:b/>
                <w:bCs/>
                <w:lang w:val="en-ZA"/>
              </w:rPr>
            </w:pPr>
            <w:r w:rsidRPr="00E90E93">
              <w:rPr>
                <w:b/>
                <w:bCs/>
                <w:lang w:val="en-ZA"/>
              </w:rPr>
              <w:t>4</w:t>
            </w:r>
          </w:p>
        </w:tc>
        <w:tc>
          <w:tcPr>
            <w:tcW w:w="444" w:type="dxa"/>
          </w:tcPr>
          <w:p w14:paraId="1D3A37D3" w14:textId="07F5E7FB" w:rsidR="00D6440C" w:rsidRPr="00E90E93" w:rsidRDefault="00D6440C" w:rsidP="00CA2738">
            <w:pPr>
              <w:jc w:val="center"/>
              <w:rPr>
                <w:b/>
                <w:bCs/>
                <w:lang w:val="en-ZA"/>
              </w:rPr>
            </w:pPr>
            <w:r w:rsidRPr="00E90E93">
              <w:rPr>
                <w:b/>
                <w:bCs/>
                <w:lang w:val="en-ZA"/>
              </w:rPr>
              <w:t>5</w:t>
            </w:r>
          </w:p>
        </w:tc>
      </w:tr>
      <w:tr w:rsidR="005F1494" w14:paraId="33C58F9E" w14:textId="77777777" w:rsidTr="00CF3DE7">
        <w:tc>
          <w:tcPr>
            <w:tcW w:w="6799" w:type="dxa"/>
          </w:tcPr>
          <w:p w14:paraId="351FE4AF" w14:textId="5B15DD73" w:rsidR="005F1494" w:rsidRDefault="00ED309A" w:rsidP="00041238">
            <w:pPr>
              <w:pStyle w:val="ListParagraph"/>
              <w:numPr>
                <w:ilvl w:val="0"/>
                <w:numId w:val="6"/>
              </w:numPr>
              <w:jc w:val="left"/>
              <w:rPr>
                <w:lang w:val="en-ZA"/>
              </w:rPr>
            </w:pPr>
            <w:r>
              <w:rPr>
                <w:lang w:val="en-ZA"/>
              </w:rPr>
              <w:t>Staff understand HR policies well</w:t>
            </w:r>
          </w:p>
        </w:tc>
        <w:tc>
          <w:tcPr>
            <w:tcW w:w="443" w:type="dxa"/>
          </w:tcPr>
          <w:p w14:paraId="2394ED56" w14:textId="70DD6283" w:rsidR="005F1494" w:rsidRPr="00E90E93" w:rsidRDefault="00ED309A" w:rsidP="00CA2738">
            <w:pPr>
              <w:jc w:val="center"/>
              <w:rPr>
                <w:b/>
                <w:bCs/>
                <w:lang w:val="en-ZA"/>
              </w:rPr>
            </w:pPr>
            <w:r>
              <w:rPr>
                <w:b/>
                <w:bCs/>
                <w:lang w:val="en-ZA"/>
              </w:rPr>
              <w:t>1</w:t>
            </w:r>
          </w:p>
        </w:tc>
        <w:tc>
          <w:tcPr>
            <w:tcW w:w="443" w:type="dxa"/>
          </w:tcPr>
          <w:p w14:paraId="2361B4F7" w14:textId="78191E58" w:rsidR="005F1494" w:rsidRPr="00E90E93" w:rsidRDefault="00ED309A" w:rsidP="00CA2738">
            <w:pPr>
              <w:jc w:val="center"/>
              <w:rPr>
                <w:b/>
                <w:bCs/>
                <w:lang w:val="en-ZA"/>
              </w:rPr>
            </w:pPr>
            <w:r>
              <w:rPr>
                <w:b/>
                <w:bCs/>
                <w:lang w:val="en-ZA"/>
              </w:rPr>
              <w:t>2</w:t>
            </w:r>
          </w:p>
        </w:tc>
        <w:tc>
          <w:tcPr>
            <w:tcW w:w="444" w:type="dxa"/>
          </w:tcPr>
          <w:p w14:paraId="76682E76" w14:textId="76ADFF64" w:rsidR="005F1494" w:rsidRPr="00E90E93" w:rsidRDefault="00ED309A" w:rsidP="00CA2738">
            <w:pPr>
              <w:jc w:val="center"/>
              <w:rPr>
                <w:b/>
                <w:bCs/>
                <w:lang w:val="en-ZA"/>
              </w:rPr>
            </w:pPr>
            <w:r>
              <w:rPr>
                <w:b/>
                <w:bCs/>
                <w:lang w:val="en-ZA"/>
              </w:rPr>
              <w:t>3</w:t>
            </w:r>
          </w:p>
        </w:tc>
        <w:tc>
          <w:tcPr>
            <w:tcW w:w="443" w:type="dxa"/>
          </w:tcPr>
          <w:p w14:paraId="15CB50B1" w14:textId="0C2B8F0D" w:rsidR="005F1494" w:rsidRPr="00E90E93" w:rsidRDefault="00ED309A" w:rsidP="00CA2738">
            <w:pPr>
              <w:jc w:val="center"/>
              <w:rPr>
                <w:b/>
                <w:bCs/>
                <w:lang w:val="en-ZA"/>
              </w:rPr>
            </w:pPr>
            <w:r>
              <w:rPr>
                <w:b/>
                <w:bCs/>
                <w:lang w:val="en-ZA"/>
              </w:rPr>
              <w:t>4</w:t>
            </w:r>
          </w:p>
        </w:tc>
        <w:tc>
          <w:tcPr>
            <w:tcW w:w="444" w:type="dxa"/>
          </w:tcPr>
          <w:p w14:paraId="33E35877" w14:textId="7E1B929A" w:rsidR="005F1494" w:rsidRPr="00E90E93" w:rsidRDefault="00ED309A" w:rsidP="00CA2738">
            <w:pPr>
              <w:jc w:val="center"/>
              <w:rPr>
                <w:b/>
                <w:bCs/>
                <w:lang w:val="en-ZA"/>
              </w:rPr>
            </w:pPr>
            <w:r>
              <w:rPr>
                <w:b/>
                <w:bCs/>
                <w:lang w:val="en-ZA"/>
              </w:rPr>
              <w:t>5</w:t>
            </w:r>
          </w:p>
        </w:tc>
      </w:tr>
      <w:tr w:rsidR="00D6440C" w14:paraId="618B7C96" w14:textId="77777777" w:rsidTr="00C25049">
        <w:tc>
          <w:tcPr>
            <w:tcW w:w="9016" w:type="dxa"/>
            <w:gridSpan w:val="6"/>
            <w:shd w:val="clear" w:color="auto" w:fill="DBE5F1" w:themeFill="accent1" w:themeFillTint="33"/>
          </w:tcPr>
          <w:p w14:paraId="4756A1D6" w14:textId="6C7A3CA1" w:rsidR="00D6440C" w:rsidRPr="00E90E93" w:rsidRDefault="00D6440C" w:rsidP="00CA2738">
            <w:pPr>
              <w:jc w:val="left"/>
              <w:rPr>
                <w:b/>
                <w:bCs/>
                <w:lang w:val="en-ZA"/>
              </w:rPr>
            </w:pPr>
            <w:r w:rsidRPr="00D30E8E">
              <w:rPr>
                <w:b/>
                <w:bCs/>
              </w:rPr>
              <w:t>Policy alignment with institutional strategy, mission, and values</w:t>
            </w:r>
          </w:p>
        </w:tc>
      </w:tr>
      <w:tr w:rsidR="00D6440C" w14:paraId="52D8BF94" w14:textId="77777777" w:rsidTr="00CF3DE7">
        <w:tc>
          <w:tcPr>
            <w:tcW w:w="6799" w:type="dxa"/>
          </w:tcPr>
          <w:p w14:paraId="68DC9EDF" w14:textId="3FE79861" w:rsidR="00D6440C" w:rsidRDefault="00D6440C" w:rsidP="00041238">
            <w:pPr>
              <w:pStyle w:val="ListParagraph"/>
              <w:numPr>
                <w:ilvl w:val="0"/>
                <w:numId w:val="6"/>
              </w:numPr>
              <w:jc w:val="left"/>
            </w:pPr>
            <w:r w:rsidRPr="00CF3DE7">
              <w:rPr>
                <w:lang w:val="en-ZA"/>
              </w:rPr>
              <w:t xml:space="preserve">HR </w:t>
            </w:r>
            <w:r>
              <w:rPr>
                <w:lang w:val="en-ZA"/>
              </w:rPr>
              <w:t>is</w:t>
            </w:r>
            <w:r w:rsidRPr="00CF3DE7">
              <w:rPr>
                <w:lang w:val="en-ZA"/>
              </w:rPr>
              <w:t xml:space="preserve"> seen as a strategic partner within the institution</w:t>
            </w:r>
          </w:p>
        </w:tc>
        <w:tc>
          <w:tcPr>
            <w:tcW w:w="443" w:type="dxa"/>
          </w:tcPr>
          <w:p w14:paraId="72C7B57D" w14:textId="14A66472" w:rsidR="00D6440C" w:rsidRPr="00E90E93" w:rsidRDefault="00D6440C" w:rsidP="00CA2738">
            <w:pPr>
              <w:jc w:val="center"/>
              <w:rPr>
                <w:b/>
                <w:bCs/>
                <w:lang w:val="en-ZA"/>
              </w:rPr>
            </w:pPr>
            <w:r w:rsidRPr="00E90E93">
              <w:rPr>
                <w:b/>
                <w:bCs/>
                <w:lang w:val="en-ZA"/>
              </w:rPr>
              <w:t>1</w:t>
            </w:r>
          </w:p>
        </w:tc>
        <w:tc>
          <w:tcPr>
            <w:tcW w:w="443" w:type="dxa"/>
          </w:tcPr>
          <w:p w14:paraId="728A6C80" w14:textId="4E6817F2" w:rsidR="00D6440C" w:rsidRPr="00E90E93" w:rsidRDefault="00D6440C" w:rsidP="00CA2738">
            <w:pPr>
              <w:jc w:val="center"/>
              <w:rPr>
                <w:b/>
                <w:bCs/>
                <w:lang w:val="en-ZA"/>
              </w:rPr>
            </w:pPr>
            <w:r w:rsidRPr="00E90E93">
              <w:rPr>
                <w:b/>
                <w:bCs/>
                <w:lang w:val="en-ZA"/>
              </w:rPr>
              <w:t>2</w:t>
            </w:r>
          </w:p>
        </w:tc>
        <w:tc>
          <w:tcPr>
            <w:tcW w:w="444" w:type="dxa"/>
          </w:tcPr>
          <w:p w14:paraId="43716083" w14:textId="0A6B710A" w:rsidR="00D6440C" w:rsidRPr="00E90E93" w:rsidRDefault="00D6440C" w:rsidP="00CA2738">
            <w:pPr>
              <w:jc w:val="center"/>
              <w:rPr>
                <w:b/>
                <w:bCs/>
                <w:lang w:val="en-ZA"/>
              </w:rPr>
            </w:pPr>
            <w:r w:rsidRPr="00E90E93">
              <w:rPr>
                <w:b/>
                <w:bCs/>
                <w:lang w:val="en-ZA"/>
              </w:rPr>
              <w:t>3</w:t>
            </w:r>
          </w:p>
        </w:tc>
        <w:tc>
          <w:tcPr>
            <w:tcW w:w="443" w:type="dxa"/>
          </w:tcPr>
          <w:p w14:paraId="6F905EB9" w14:textId="56DC431B" w:rsidR="00D6440C" w:rsidRPr="00E90E93" w:rsidRDefault="00D6440C" w:rsidP="00CA2738">
            <w:pPr>
              <w:jc w:val="center"/>
              <w:rPr>
                <w:b/>
                <w:bCs/>
                <w:lang w:val="en-ZA"/>
              </w:rPr>
            </w:pPr>
            <w:r w:rsidRPr="00E90E93">
              <w:rPr>
                <w:b/>
                <w:bCs/>
                <w:lang w:val="en-ZA"/>
              </w:rPr>
              <w:t>4</w:t>
            </w:r>
          </w:p>
        </w:tc>
        <w:tc>
          <w:tcPr>
            <w:tcW w:w="444" w:type="dxa"/>
          </w:tcPr>
          <w:p w14:paraId="108ED6F2" w14:textId="5B073EAB" w:rsidR="00D6440C" w:rsidRPr="00E90E93" w:rsidRDefault="00D6440C" w:rsidP="00CA2738">
            <w:pPr>
              <w:jc w:val="center"/>
              <w:rPr>
                <w:b/>
                <w:bCs/>
                <w:lang w:val="en-ZA"/>
              </w:rPr>
            </w:pPr>
            <w:r w:rsidRPr="00E90E93">
              <w:rPr>
                <w:b/>
                <w:bCs/>
                <w:lang w:val="en-ZA"/>
              </w:rPr>
              <w:t>5</w:t>
            </w:r>
          </w:p>
        </w:tc>
      </w:tr>
      <w:tr w:rsidR="0007746C" w14:paraId="515DB100" w14:textId="77777777" w:rsidTr="00CF3DE7">
        <w:tc>
          <w:tcPr>
            <w:tcW w:w="6799" w:type="dxa"/>
          </w:tcPr>
          <w:p w14:paraId="4A2325F1" w14:textId="2E901CBC" w:rsidR="0007746C" w:rsidRPr="00CF3DE7" w:rsidRDefault="0007746C" w:rsidP="00041238">
            <w:pPr>
              <w:pStyle w:val="ListParagraph"/>
              <w:numPr>
                <w:ilvl w:val="0"/>
                <w:numId w:val="6"/>
              </w:numPr>
              <w:jc w:val="left"/>
              <w:rPr>
                <w:lang w:val="en-ZA"/>
              </w:rPr>
            </w:pPr>
            <w:r>
              <w:rPr>
                <w:lang w:val="en-ZA"/>
              </w:rPr>
              <w:t>The institution has a talent management strategy in place</w:t>
            </w:r>
          </w:p>
        </w:tc>
        <w:tc>
          <w:tcPr>
            <w:tcW w:w="443" w:type="dxa"/>
          </w:tcPr>
          <w:p w14:paraId="41735C67" w14:textId="286AD589" w:rsidR="0007746C" w:rsidRPr="00E90E93" w:rsidRDefault="0007746C" w:rsidP="00CA2738">
            <w:pPr>
              <w:jc w:val="center"/>
              <w:rPr>
                <w:b/>
                <w:bCs/>
                <w:lang w:val="en-ZA"/>
              </w:rPr>
            </w:pPr>
            <w:r>
              <w:rPr>
                <w:b/>
                <w:bCs/>
                <w:lang w:val="en-ZA"/>
              </w:rPr>
              <w:t>1</w:t>
            </w:r>
          </w:p>
        </w:tc>
        <w:tc>
          <w:tcPr>
            <w:tcW w:w="443" w:type="dxa"/>
          </w:tcPr>
          <w:p w14:paraId="01ACAAB2" w14:textId="258EAA7C" w:rsidR="0007746C" w:rsidRPr="00E90E93" w:rsidRDefault="0007746C" w:rsidP="00CA2738">
            <w:pPr>
              <w:jc w:val="center"/>
              <w:rPr>
                <w:b/>
                <w:bCs/>
                <w:lang w:val="en-ZA"/>
              </w:rPr>
            </w:pPr>
            <w:r>
              <w:rPr>
                <w:b/>
                <w:bCs/>
                <w:lang w:val="en-ZA"/>
              </w:rPr>
              <w:t>2</w:t>
            </w:r>
          </w:p>
        </w:tc>
        <w:tc>
          <w:tcPr>
            <w:tcW w:w="444" w:type="dxa"/>
          </w:tcPr>
          <w:p w14:paraId="581D28E2" w14:textId="6D2F15FC" w:rsidR="0007746C" w:rsidRPr="00E90E93" w:rsidRDefault="0007746C" w:rsidP="00CA2738">
            <w:pPr>
              <w:jc w:val="center"/>
              <w:rPr>
                <w:b/>
                <w:bCs/>
                <w:lang w:val="en-ZA"/>
              </w:rPr>
            </w:pPr>
            <w:r>
              <w:rPr>
                <w:b/>
                <w:bCs/>
                <w:lang w:val="en-ZA"/>
              </w:rPr>
              <w:t>3</w:t>
            </w:r>
          </w:p>
        </w:tc>
        <w:tc>
          <w:tcPr>
            <w:tcW w:w="443" w:type="dxa"/>
          </w:tcPr>
          <w:p w14:paraId="71B6451C" w14:textId="426B5491" w:rsidR="0007746C" w:rsidRPr="00E90E93" w:rsidRDefault="0007746C" w:rsidP="00CA2738">
            <w:pPr>
              <w:jc w:val="center"/>
              <w:rPr>
                <w:b/>
                <w:bCs/>
                <w:lang w:val="en-ZA"/>
              </w:rPr>
            </w:pPr>
            <w:r>
              <w:rPr>
                <w:b/>
                <w:bCs/>
                <w:lang w:val="en-ZA"/>
              </w:rPr>
              <w:t>4</w:t>
            </w:r>
          </w:p>
        </w:tc>
        <w:tc>
          <w:tcPr>
            <w:tcW w:w="444" w:type="dxa"/>
          </w:tcPr>
          <w:p w14:paraId="7886404D" w14:textId="2A98076F" w:rsidR="0007746C" w:rsidRPr="00E90E93" w:rsidRDefault="0007746C" w:rsidP="00CA2738">
            <w:pPr>
              <w:jc w:val="center"/>
              <w:rPr>
                <w:b/>
                <w:bCs/>
                <w:lang w:val="en-ZA"/>
              </w:rPr>
            </w:pPr>
            <w:r>
              <w:rPr>
                <w:b/>
                <w:bCs/>
                <w:lang w:val="en-ZA"/>
              </w:rPr>
              <w:t>5</w:t>
            </w:r>
          </w:p>
        </w:tc>
      </w:tr>
      <w:tr w:rsidR="00D6440C" w14:paraId="7C69F8F8" w14:textId="77777777" w:rsidTr="00CF3DE7">
        <w:tc>
          <w:tcPr>
            <w:tcW w:w="6799" w:type="dxa"/>
          </w:tcPr>
          <w:p w14:paraId="7A380AC0" w14:textId="2A88D362" w:rsidR="00D6440C" w:rsidRPr="00CF3DE7" w:rsidRDefault="00D6440C" w:rsidP="00041238">
            <w:pPr>
              <w:pStyle w:val="ListParagraph"/>
              <w:numPr>
                <w:ilvl w:val="0"/>
                <w:numId w:val="6"/>
              </w:numPr>
              <w:jc w:val="left"/>
              <w:rPr>
                <w:lang w:val="en-ZA"/>
              </w:rPr>
            </w:pPr>
            <w:r>
              <w:rPr>
                <w:lang w:val="en-ZA"/>
              </w:rPr>
              <w:t xml:space="preserve">HR policies reflect </w:t>
            </w:r>
            <w:r w:rsidRPr="00CF3DE7">
              <w:rPr>
                <w:lang w:val="en-ZA"/>
              </w:rPr>
              <w:t>the institution’s mission, vision, and strategic priorities</w:t>
            </w:r>
          </w:p>
        </w:tc>
        <w:tc>
          <w:tcPr>
            <w:tcW w:w="443" w:type="dxa"/>
          </w:tcPr>
          <w:p w14:paraId="53017032" w14:textId="3FFC1A7C" w:rsidR="00D6440C" w:rsidRPr="00E90E93" w:rsidRDefault="00D6440C" w:rsidP="00CA2738">
            <w:pPr>
              <w:jc w:val="center"/>
              <w:rPr>
                <w:b/>
                <w:bCs/>
                <w:lang w:val="en-ZA"/>
              </w:rPr>
            </w:pPr>
            <w:r w:rsidRPr="00E90E93">
              <w:rPr>
                <w:b/>
                <w:bCs/>
                <w:lang w:val="en-ZA"/>
              </w:rPr>
              <w:t>1</w:t>
            </w:r>
          </w:p>
        </w:tc>
        <w:tc>
          <w:tcPr>
            <w:tcW w:w="443" w:type="dxa"/>
          </w:tcPr>
          <w:p w14:paraId="7939FF29" w14:textId="4590E442" w:rsidR="00D6440C" w:rsidRPr="00E90E93" w:rsidRDefault="00D6440C" w:rsidP="00CA2738">
            <w:pPr>
              <w:jc w:val="center"/>
              <w:rPr>
                <w:b/>
                <w:bCs/>
                <w:lang w:val="en-ZA"/>
              </w:rPr>
            </w:pPr>
            <w:r w:rsidRPr="00E90E93">
              <w:rPr>
                <w:b/>
                <w:bCs/>
                <w:lang w:val="en-ZA"/>
              </w:rPr>
              <w:t>2</w:t>
            </w:r>
          </w:p>
        </w:tc>
        <w:tc>
          <w:tcPr>
            <w:tcW w:w="444" w:type="dxa"/>
          </w:tcPr>
          <w:p w14:paraId="40FEAF4C" w14:textId="62919051" w:rsidR="00D6440C" w:rsidRPr="00E90E93" w:rsidRDefault="00D6440C" w:rsidP="00CA2738">
            <w:pPr>
              <w:jc w:val="center"/>
              <w:rPr>
                <w:b/>
                <w:bCs/>
                <w:lang w:val="en-ZA"/>
              </w:rPr>
            </w:pPr>
            <w:r w:rsidRPr="00E90E93">
              <w:rPr>
                <w:b/>
                <w:bCs/>
                <w:lang w:val="en-ZA"/>
              </w:rPr>
              <w:t>3</w:t>
            </w:r>
          </w:p>
        </w:tc>
        <w:tc>
          <w:tcPr>
            <w:tcW w:w="443" w:type="dxa"/>
          </w:tcPr>
          <w:p w14:paraId="0597C391" w14:textId="055A5330" w:rsidR="00D6440C" w:rsidRPr="00E90E93" w:rsidRDefault="00D6440C" w:rsidP="00CA2738">
            <w:pPr>
              <w:jc w:val="center"/>
              <w:rPr>
                <w:b/>
                <w:bCs/>
                <w:lang w:val="en-ZA"/>
              </w:rPr>
            </w:pPr>
            <w:r w:rsidRPr="00E90E93">
              <w:rPr>
                <w:b/>
                <w:bCs/>
                <w:lang w:val="en-ZA"/>
              </w:rPr>
              <w:t>4</w:t>
            </w:r>
          </w:p>
        </w:tc>
        <w:tc>
          <w:tcPr>
            <w:tcW w:w="444" w:type="dxa"/>
          </w:tcPr>
          <w:p w14:paraId="2A3633B2" w14:textId="75361128" w:rsidR="00D6440C" w:rsidRPr="00E90E93" w:rsidRDefault="00D6440C" w:rsidP="00CA2738">
            <w:pPr>
              <w:jc w:val="center"/>
              <w:rPr>
                <w:b/>
                <w:bCs/>
                <w:lang w:val="en-ZA"/>
              </w:rPr>
            </w:pPr>
            <w:r w:rsidRPr="00E90E93">
              <w:rPr>
                <w:b/>
                <w:bCs/>
                <w:lang w:val="en-ZA"/>
              </w:rPr>
              <w:t>5</w:t>
            </w:r>
          </w:p>
        </w:tc>
      </w:tr>
      <w:tr w:rsidR="00D6440C" w14:paraId="12EF1363" w14:textId="77777777" w:rsidTr="00CF3DE7">
        <w:tc>
          <w:tcPr>
            <w:tcW w:w="6799" w:type="dxa"/>
          </w:tcPr>
          <w:p w14:paraId="50DD5F61" w14:textId="7A0AB988" w:rsidR="00D6440C" w:rsidRDefault="004F3D9A" w:rsidP="00041238">
            <w:pPr>
              <w:pStyle w:val="ListParagraph"/>
              <w:numPr>
                <w:ilvl w:val="0"/>
                <w:numId w:val="6"/>
              </w:numPr>
              <w:jc w:val="left"/>
              <w:rPr>
                <w:lang w:val="en-ZA"/>
              </w:rPr>
            </w:pPr>
            <w:r>
              <w:rPr>
                <w:lang w:val="en-ZA"/>
              </w:rPr>
              <w:lastRenderedPageBreak/>
              <w:t xml:space="preserve">The institution’s </w:t>
            </w:r>
            <w:r w:rsidR="00D6440C" w:rsidRPr="00CF3DE7">
              <w:rPr>
                <w:lang w:val="en-ZA"/>
              </w:rPr>
              <w:t>HR policies promote diversity, equity, and inclusion</w:t>
            </w:r>
          </w:p>
        </w:tc>
        <w:tc>
          <w:tcPr>
            <w:tcW w:w="443" w:type="dxa"/>
          </w:tcPr>
          <w:p w14:paraId="57A0F968" w14:textId="363D18A1" w:rsidR="00D6440C" w:rsidRPr="00E90E93" w:rsidRDefault="00D6440C" w:rsidP="00CA2738">
            <w:pPr>
              <w:jc w:val="center"/>
              <w:rPr>
                <w:b/>
                <w:bCs/>
                <w:lang w:val="en-ZA"/>
              </w:rPr>
            </w:pPr>
            <w:r w:rsidRPr="00E90E93">
              <w:rPr>
                <w:b/>
                <w:bCs/>
                <w:lang w:val="en-ZA"/>
              </w:rPr>
              <w:t>1</w:t>
            </w:r>
          </w:p>
        </w:tc>
        <w:tc>
          <w:tcPr>
            <w:tcW w:w="443" w:type="dxa"/>
          </w:tcPr>
          <w:p w14:paraId="558CFD92" w14:textId="60E69DF2" w:rsidR="00D6440C" w:rsidRPr="00E90E93" w:rsidRDefault="00D6440C" w:rsidP="00CA2738">
            <w:pPr>
              <w:jc w:val="center"/>
              <w:rPr>
                <w:b/>
                <w:bCs/>
                <w:lang w:val="en-ZA"/>
              </w:rPr>
            </w:pPr>
            <w:r w:rsidRPr="00E90E93">
              <w:rPr>
                <w:b/>
                <w:bCs/>
                <w:lang w:val="en-ZA"/>
              </w:rPr>
              <w:t>2</w:t>
            </w:r>
          </w:p>
        </w:tc>
        <w:tc>
          <w:tcPr>
            <w:tcW w:w="444" w:type="dxa"/>
          </w:tcPr>
          <w:p w14:paraId="1CE8AE5F" w14:textId="0A46355E" w:rsidR="00D6440C" w:rsidRPr="00E90E93" w:rsidRDefault="00D6440C" w:rsidP="00CA2738">
            <w:pPr>
              <w:jc w:val="center"/>
              <w:rPr>
                <w:b/>
                <w:bCs/>
                <w:lang w:val="en-ZA"/>
              </w:rPr>
            </w:pPr>
            <w:r w:rsidRPr="00E90E93">
              <w:rPr>
                <w:b/>
                <w:bCs/>
                <w:lang w:val="en-ZA"/>
              </w:rPr>
              <w:t>3</w:t>
            </w:r>
          </w:p>
        </w:tc>
        <w:tc>
          <w:tcPr>
            <w:tcW w:w="443" w:type="dxa"/>
          </w:tcPr>
          <w:p w14:paraId="25762E4E" w14:textId="427A1291" w:rsidR="00D6440C" w:rsidRPr="00E90E93" w:rsidRDefault="00D6440C" w:rsidP="00CA2738">
            <w:pPr>
              <w:jc w:val="center"/>
              <w:rPr>
                <w:b/>
                <w:bCs/>
                <w:lang w:val="en-ZA"/>
              </w:rPr>
            </w:pPr>
            <w:r w:rsidRPr="00E90E93">
              <w:rPr>
                <w:b/>
                <w:bCs/>
                <w:lang w:val="en-ZA"/>
              </w:rPr>
              <w:t>4</w:t>
            </w:r>
          </w:p>
        </w:tc>
        <w:tc>
          <w:tcPr>
            <w:tcW w:w="444" w:type="dxa"/>
          </w:tcPr>
          <w:p w14:paraId="41DB3E3A" w14:textId="60272016" w:rsidR="00D6440C" w:rsidRPr="00E90E93" w:rsidRDefault="00D6440C" w:rsidP="00CA2738">
            <w:pPr>
              <w:jc w:val="center"/>
              <w:rPr>
                <w:b/>
                <w:bCs/>
                <w:lang w:val="en-ZA"/>
              </w:rPr>
            </w:pPr>
            <w:r w:rsidRPr="00E90E93">
              <w:rPr>
                <w:b/>
                <w:bCs/>
                <w:lang w:val="en-ZA"/>
              </w:rPr>
              <w:t>5</w:t>
            </w:r>
          </w:p>
        </w:tc>
      </w:tr>
      <w:tr w:rsidR="00D6440C" w14:paraId="25F92AAE" w14:textId="77777777" w:rsidTr="00CF3DE7">
        <w:tc>
          <w:tcPr>
            <w:tcW w:w="6799" w:type="dxa"/>
          </w:tcPr>
          <w:p w14:paraId="34CCEAB9" w14:textId="23AC96BB" w:rsidR="00D6440C" w:rsidRDefault="004F3D9A" w:rsidP="00041238">
            <w:pPr>
              <w:pStyle w:val="ListParagraph"/>
              <w:numPr>
                <w:ilvl w:val="0"/>
                <w:numId w:val="6"/>
              </w:numPr>
              <w:jc w:val="left"/>
              <w:rPr>
                <w:lang w:val="en-ZA"/>
              </w:rPr>
            </w:pPr>
            <w:r>
              <w:rPr>
                <w:lang w:val="en-ZA"/>
              </w:rPr>
              <w:t xml:space="preserve">The </w:t>
            </w:r>
            <w:r w:rsidR="00D6440C">
              <w:rPr>
                <w:lang w:val="en-ZA"/>
              </w:rPr>
              <w:t>HR processes are</w:t>
            </w:r>
            <w:r w:rsidR="00D6440C" w:rsidRPr="00CF3DE7">
              <w:rPr>
                <w:lang w:val="en-ZA"/>
              </w:rPr>
              <w:t xml:space="preserve"> fair and transparent</w:t>
            </w:r>
          </w:p>
        </w:tc>
        <w:tc>
          <w:tcPr>
            <w:tcW w:w="443" w:type="dxa"/>
          </w:tcPr>
          <w:p w14:paraId="34557D5F" w14:textId="7BB80660" w:rsidR="00D6440C" w:rsidRPr="00E90E93" w:rsidRDefault="00D6440C" w:rsidP="00CA2738">
            <w:pPr>
              <w:jc w:val="center"/>
              <w:rPr>
                <w:b/>
                <w:bCs/>
                <w:lang w:val="en-ZA"/>
              </w:rPr>
            </w:pPr>
            <w:r w:rsidRPr="00E90E93">
              <w:rPr>
                <w:b/>
                <w:bCs/>
                <w:lang w:val="en-ZA"/>
              </w:rPr>
              <w:t>1</w:t>
            </w:r>
          </w:p>
        </w:tc>
        <w:tc>
          <w:tcPr>
            <w:tcW w:w="443" w:type="dxa"/>
          </w:tcPr>
          <w:p w14:paraId="4EB767E6" w14:textId="5DD9999E" w:rsidR="00D6440C" w:rsidRPr="00E90E93" w:rsidRDefault="00D6440C" w:rsidP="00CA2738">
            <w:pPr>
              <w:jc w:val="center"/>
              <w:rPr>
                <w:b/>
                <w:bCs/>
                <w:lang w:val="en-ZA"/>
              </w:rPr>
            </w:pPr>
            <w:r w:rsidRPr="00E90E93">
              <w:rPr>
                <w:b/>
                <w:bCs/>
                <w:lang w:val="en-ZA"/>
              </w:rPr>
              <w:t>2</w:t>
            </w:r>
          </w:p>
        </w:tc>
        <w:tc>
          <w:tcPr>
            <w:tcW w:w="444" w:type="dxa"/>
          </w:tcPr>
          <w:p w14:paraId="6D19B9D8" w14:textId="7FE72F44" w:rsidR="00D6440C" w:rsidRPr="00E90E93" w:rsidRDefault="00D6440C" w:rsidP="00CA2738">
            <w:pPr>
              <w:jc w:val="center"/>
              <w:rPr>
                <w:b/>
                <w:bCs/>
                <w:lang w:val="en-ZA"/>
              </w:rPr>
            </w:pPr>
            <w:r w:rsidRPr="00E90E93">
              <w:rPr>
                <w:b/>
                <w:bCs/>
                <w:lang w:val="en-ZA"/>
              </w:rPr>
              <w:t>3</w:t>
            </w:r>
          </w:p>
        </w:tc>
        <w:tc>
          <w:tcPr>
            <w:tcW w:w="443" w:type="dxa"/>
          </w:tcPr>
          <w:p w14:paraId="0EFB84C3" w14:textId="630D40FB" w:rsidR="00D6440C" w:rsidRPr="00E90E93" w:rsidRDefault="00D6440C" w:rsidP="00CA2738">
            <w:pPr>
              <w:jc w:val="center"/>
              <w:rPr>
                <w:b/>
                <w:bCs/>
                <w:lang w:val="en-ZA"/>
              </w:rPr>
            </w:pPr>
            <w:r w:rsidRPr="00E90E93">
              <w:rPr>
                <w:b/>
                <w:bCs/>
                <w:lang w:val="en-ZA"/>
              </w:rPr>
              <w:t>4</w:t>
            </w:r>
          </w:p>
        </w:tc>
        <w:tc>
          <w:tcPr>
            <w:tcW w:w="444" w:type="dxa"/>
          </w:tcPr>
          <w:p w14:paraId="6220F8E4" w14:textId="0E82D200" w:rsidR="00D6440C" w:rsidRPr="00E90E93" w:rsidRDefault="00D6440C" w:rsidP="00CA2738">
            <w:pPr>
              <w:jc w:val="center"/>
              <w:rPr>
                <w:b/>
                <w:bCs/>
                <w:lang w:val="en-ZA"/>
              </w:rPr>
            </w:pPr>
            <w:r w:rsidRPr="00E90E93">
              <w:rPr>
                <w:b/>
                <w:bCs/>
                <w:lang w:val="en-ZA"/>
              </w:rPr>
              <w:t>5</w:t>
            </w:r>
          </w:p>
        </w:tc>
      </w:tr>
      <w:tr w:rsidR="00D6440C" w14:paraId="084603CD" w14:textId="77777777" w:rsidTr="00CF3DE7">
        <w:tc>
          <w:tcPr>
            <w:tcW w:w="6799" w:type="dxa"/>
          </w:tcPr>
          <w:p w14:paraId="2D3A38C2" w14:textId="5216F69A" w:rsidR="00D6440C" w:rsidRDefault="000A2E02" w:rsidP="00041238">
            <w:pPr>
              <w:pStyle w:val="ListParagraph"/>
              <w:numPr>
                <w:ilvl w:val="0"/>
                <w:numId w:val="6"/>
              </w:numPr>
              <w:jc w:val="left"/>
              <w:rPr>
                <w:lang w:val="en-ZA"/>
              </w:rPr>
            </w:pPr>
            <w:r>
              <w:rPr>
                <w:lang w:val="en-ZA"/>
              </w:rPr>
              <w:t>HR p</w:t>
            </w:r>
            <w:r w:rsidR="00D6440C">
              <w:rPr>
                <w:lang w:val="en-ZA"/>
              </w:rPr>
              <w:t>olicy implementation is foregrounded at all levels of the institution</w:t>
            </w:r>
          </w:p>
        </w:tc>
        <w:tc>
          <w:tcPr>
            <w:tcW w:w="443" w:type="dxa"/>
          </w:tcPr>
          <w:p w14:paraId="2DA022C0" w14:textId="4BBF044B" w:rsidR="00D6440C" w:rsidRPr="00E90E93" w:rsidRDefault="00D6440C" w:rsidP="00CA2738">
            <w:pPr>
              <w:jc w:val="center"/>
              <w:rPr>
                <w:b/>
                <w:bCs/>
                <w:lang w:val="en-ZA"/>
              </w:rPr>
            </w:pPr>
            <w:r w:rsidRPr="00E90E93">
              <w:rPr>
                <w:b/>
                <w:bCs/>
                <w:lang w:val="en-ZA"/>
              </w:rPr>
              <w:t>1</w:t>
            </w:r>
          </w:p>
        </w:tc>
        <w:tc>
          <w:tcPr>
            <w:tcW w:w="443" w:type="dxa"/>
          </w:tcPr>
          <w:p w14:paraId="7361E308" w14:textId="7A149738" w:rsidR="00D6440C" w:rsidRPr="00E90E93" w:rsidRDefault="00D6440C" w:rsidP="00CA2738">
            <w:pPr>
              <w:jc w:val="center"/>
              <w:rPr>
                <w:b/>
                <w:bCs/>
                <w:lang w:val="en-ZA"/>
              </w:rPr>
            </w:pPr>
            <w:r w:rsidRPr="00E90E93">
              <w:rPr>
                <w:b/>
                <w:bCs/>
                <w:lang w:val="en-ZA"/>
              </w:rPr>
              <w:t>2</w:t>
            </w:r>
          </w:p>
        </w:tc>
        <w:tc>
          <w:tcPr>
            <w:tcW w:w="444" w:type="dxa"/>
          </w:tcPr>
          <w:p w14:paraId="0D4FAE75" w14:textId="02FA47B8" w:rsidR="00D6440C" w:rsidRPr="00E90E93" w:rsidRDefault="00D6440C" w:rsidP="00CA2738">
            <w:pPr>
              <w:jc w:val="center"/>
              <w:rPr>
                <w:b/>
                <w:bCs/>
                <w:lang w:val="en-ZA"/>
              </w:rPr>
            </w:pPr>
            <w:r w:rsidRPr="00E90E93">
              <w:rPr>
                <w:b/>
                <w:bCs/>
                <w:lang w:val="en-ZA"/>
              </w:rPr>
              <w:t>3</w:t>
            </w:r>
          </w:p>
        </w:tc>
        <w:tc>
          <w:tcPr>
            <w:tcW w:w="443" w:type="dxa"/>
          </w:tcPr>
          <w:p w14:paraId="44E47E6B" w14:textId="569E016F" w:rsidR="00D6440C" w:rsidRPr="00E90E93" w:rsidRDefault="00D6440C" w:rsidP="00CA2738">
            <w:pPr>
              <w:jc w:val="center"/>
              <w:rPr>
                <w:b/>
                <w:bCs/>
                <w:lang w:val="en-ZA"/>
              </w:rPr>
            </w:pPr>
            <w:r w:rsidRPr="00E90E93">
              <w:rPr>
                <w:b/>
                <w:bCs/>
                <w:lang w:val="en-ZA"/>
              </w:rPr>
              <w:t>4</w:t>
            </w:r>
          </w:p>
        </w:tc>
        <w:tc>
          <w:tcPr>
            <w:tcW w:w="444" w:type="dxa"/>
          </w:tcPr>
          <w:p w14:paraId="0CD2A664" w14:textId="06A9E3E2" w:rsidR="00D6440C" w:rsidRPr="00E90E93" w:rsidRDefault="00D6440C" w:rsidP="00CA2738">
            <w:pPr>
              <w:jc w:val="center"/>
              <w:rPr>
                <w:b/>
                <w:bCs/>
                <w:lang w:val="en-ZA"/>
              </w:rPr>
            </w:pPr>
            <w:r w:rsidRPr="00E90E93">
              <w:rPr>
                <w:b/>
                <w:bCs/>
                <w:lang w:val="en-ZA"/>
              </w:rPr>
              <w:t>5</w:t>
            </w:r>
          </w:p>
        </w:tc>
      </w:tr>
      <w:tr w:rsidR="00D6440C" w14:paraId="55B61CDA" w14:textId="77777777" w:rsidTr="00CF3DE7">
        <w:tc>
          <w:tcPr>
            <w:tcW w:w="6799" w:type="dxa"/>
          </w:tcPr>
          <w:p w14:paraId="7A27CB2F" w14:textId="05C156C1" w:rsidR="00D6440C" w:rsidRDefault="00D6440C" w:rsidP="00041238">
            <w:pPr>
              <w:pStyle w:val="ListParagraph"/>
              <w:numPr>
                <w:ilvl w:val="0"/>
                <w:numId w:val="6"/>
              </w:numPr>
              <w:jc w:val="left"/>
              <w:rPr>
                <w:lang w:val="en-ZA"/>
              </w:rPr>
            </w:pPr>
            <w:r>
              <w:rPr>
                <w:lang w:val="en-ZA"/>
              </w:rPr>
              <w:t>Annual institutional reports include feedback on the institutional environment</w:t>
            </w:r>
            <w:r w:rsidR="00570F94">
              <w:rPr>
                <w:lang w:val="en-ZA"/>
              </w:rPr>
              <w:t xml:space="preserve"> from </w:t>
            </w:r>
            <w:r w:rsidR="00891B60">
              <w:rPr>
                <w:lang w:val="en-ZA"/>
              </w:rPr>
              <w:t xml:space="preserve">an </w:t>
            </w:r>
            <w:r w:rsidR="00570F94">
              <w:rPr>
                <w:lang w:val="en-ZA"/>
              </w:rPr>
              <w:t>HR</w:t>
            </w:r>
            <w:r w:rsidR="00891B60">
              <w:rPr>
                <w:lang w:val="en-ZA"/>
              </w:rPr>
              <w:t xml:space="preserve"> perspective</w:t>
            </w:r>
          </w:p>
        </w:tc>
        <w:tc>
          <w:tcPr>
            <w:tcW w:w="443" w:type="dxa"/>
          </w:tcPr>
          <w:p w14:paraId="63AAC9AD" w14:textId="3E981670" w:rsidR="00D6440C" w:rsidRPr="00E90E93" w:rsidRDefault="00D6440C" w:rsidP="00CA2738">
            <w:pPr>
              <w:jc w:val="center"/>
              <w:rPr>
                <w:b/>
                <w:bCs/>
                <w:lang w:val="en-ZA"/>
              </w:rPr>
            </w:pPr>
            <w:r w:rsidRPr="00E90E93">
              <w:rPr>
                <w:b/>
                <w:bCs/>
                <w:lang w:val="en-ZA"/>
              </w:rPr>
              <w:t>1</w:t>
            </w:r>
          </w:p>
        </w:tc>
        <w:tc>
          <w:tcPr>
            <w:tcW w:w="443" w:type="dxa"/>
          </w:tcPr>
          <w:p w14:paraId="2A07D893" w14:textId="6BA1AF83" w:rsidR="00D6440C" w:rsidRPr="00E90E93" w:rsidRDefault="00D6440C" w:rsidP="00CA2738">
            <w:pPr>
              <w:jc w:val="center"/>
              <w:rPr>
                <w:b/>
                <w:bCs/>
                <w:lang w:val="en-ZA"/>
              </w:rPr>
            </w:pPr>
            <w:r w:rsidRPr="00E90E93">
              <w:rPr>
                <w:b/>
                <w:bCs/>
                <w:lang w:val="en-ZA"/>
              </w:rPr>
              <w:t>2</w:t>
            </w:r>
          </w:p>
        </w:tc>
        <w:tc>
          <w:tcPr>
            <w:tcW w:w="444" w:type="dxa"/>
          </w:tcPr>
          <w:p w14:paraId="0A0C5A5E" w14:textId="34D712DA" w:rsidR="00D6440C" w:rsidRPr="00E90E93" w:rsidRDefault="00D6440C" w:rsidP="00CA2738">
            <w:pPr>
              <w:jc w:val="center"/>
              <w:rPr>
                <w:b/>
                <w:bCs/>
                <w:lang w:val="en-ZA"/>
              </w:rPr>
            </w:pPr>
            <w:r w:rsidRPr="00E90E93">
              <w:rPr>
                <w:b/>
                <w:bCs/>
                <w:lang w:val="en-ZA"/>
              </w:rPr>
              <w:t>3</w:t>
            </w:r>
          </w:p>
        </w:tc>
        <w:tc>
          <w:tcPr>
            <w:tcW w:w="443" w:type="dxa"/>
          </w:tcPr>
          <w:p w14:paraId="16F38F42" w14:textId="39FAFC27" w:rsidR="00D6440C" w:rsidRPr="00E90E93" w:rsidRDefault="00D6440C" w:rsidP="00CA2738">
            <w:pPr>
              <w:jc w:val="center"/>
              <w:rPr>
                <w:b/>
                <w:bCs/>
                <w:lang w:val="en-ZA"/>
              </w:rPr>
            </w:pPr>
            <w:r w:rsidRPr="00E90E93">
              <w:rPr>
                <w:b/>
                <w:bCs/>
                <w:lang w:val="en-ZA"/>
              </w:rPr>
              <w:t>4</w:t>
            </w:r>
          </w:p>
        </w:tc>
        <w:tc>
          <w:tcPr>
            <w:tcW w:w="444" w:type="dxa"/>
          </w:tcPr>
          <w:p w14:paraId="18CB98EB" w14:textId="6CA83E87" w:rsidR="00D6440C" w:rsidRPr="00E90E93" w:rsidRDefault="00D6440C" w:rsidP="00CA2738">
            <w:pPr>
              <w:jc w:val="center"/>
              <w:rPr>
                <w:b/>
                <w:bCs/>
                <w:lang w:val="en-ZA"/>
              </w:rPr>
            </w:pPr>
            <w:r w:rsidRPr="00E90E93">
              <w:rPr>
                <w:b/>
                <w:bCs/>
                <w:lang w:val="en-ZA"/>
              </w:rPr>
              <w:t>5</w:t>
            </w:r>
          </w:p>
        </w:tc>
      </w:tr>
      <w:tr w:rsidR="00D045E9" w14:paraId="0A966188" w14:textId="77777777" w:rsidTr="00C25049">
        <w:tc>
          <w:tcPr>
            <w:tcW w:w="9016" w:type="dxa"/>
            <w:gridSpan w:val="6"/>
            <w:shd w:val="clear" w:color="auto" w:fill="DBE5F1" w:themeFill="accent1" w:themeFillTint="33"/>
          </w:tcPr>
          <w:p w14:paraId="07029EE5" w14:textId="184F4B49" w:rsidR="00D045E9" w:rsidRPr="00E90E93" w:rsidRDefault="00D045E9" w:rsidP="00D045E9">
            <w:pPr>
              <w:rPr>
                <w:b/>
                <w:bCs/>
                <w:lang w:val="en-ZA"/>
              </w:rPr>
            </w:pPr>
            <w:r>
              <w:rPr>
                <w:b/>
                <w:bCs/>
                <w:lang w:val="en-ZA"/>
              </w:rPr>
              <w:t xml:space="preserve">HR technology and </w:t>
            </w:r>
            <w:r w:rsidR="00F46D36">
              <w:rPr>
                <w:b/>
                <w:bCs/>
                <w:lang w:val="en-ZA"/>
              </w:rPr>
              <w:t>data management</w:t>
            </w:r>
          </w:p>
        </w:tc>
      </w:tr>
      <w:tr w:rsidR="00D045E9" w14:paraId="0C9C73CF" w14:textId="77777777" w:rsidTr="00CF3DE7">
        <w:tc>
          <w:tcPr>
            <w:tcW w:w="6799" w:type="dxa"/>
          </w:tcPr>
          <w:p w14:paraId="047FB3B6" w14:textId="1B2E49B5" w:rsidR="007F751C" w:rsidRPr="00891B60" w:rsidRDefault="008546BD" w:rsidP="00891B60">
            <w:pPr>
              <w:pStyle w:val="ListParagraph"/>
              <w:numPr>
                <w:ilvl w:val="0"/>
                <w:numId w:val="6"/>
              </w:numPr>
              <w:jc w:val="left"/>
              <w:rPr>
                <w:lang w:val="en-ZA"/>
              </w:rPr>
            </w:pPr>
            <w:r>
              <w:rPr>
                <w:lang w:val="en-ZA"/>
              </w:rPr>
              <w:t>HR software is in place to:</w:t>
            </w:r>
          </w:p>
        </w:tc>
        <w:tc>
          <w:tcPr>
            <w:tcW w:w="443" w:type="dxa"/>
          </w:tcPr>
          <w:p w14:paraId="321DEEE9" w14:textId="646A8CE7" w:rsidR="00D045E9" w:rsidRPr="00E90E93" w:rsidRDefault="00D045E9" w:rsidP="00CA2738">
            <w:pPr>
              <w:jc w:val="center"/>
              <w:rPr>
                <w:b/>
                <w:bCs/>
                <w:lang w:val="en-ZA"/>
              </w:rPr>
            </w:pPr>
          </w:p>
        </w:tc>
        <w:tc>
          <w:tcPr>
            <w:tcW w:w="443" w:type="dxa"/>
          </w:tcPr>
          <w:p w14:paraId="41633769" w14:textId="51311E77" w:rsidR="00D045E9" w:rsidRPr="00E90E93" w:rsidRDefault="00D045E9" w:rsidP="00CA2738">
            <w:pPr>
              <w:jc w:val="center"/>
              <w:rPr>
                <w:b/>
                <w:bCs/>
                <w:lang w:val="en-ZA"/>
              </w:rPr>
            </w:pPr>
          </w:p>
        </w:tc>
        <w:tc>
          <w:tcPr>
            <w:tcW w:w="444" w:type="dxa"/>
          </w:tcPr>
          <w:p w14:paraId="16519E06" w14:textId="5093CD20" w:rsidR="00D045E9" w:rsidRPr="00E90E93" w:rsidRDefault="00D045E9" w:rsidP="00CA2738">
            <w:pPr>
              <w:jc w:val="center"/>
              <w:rPr>
                <w:b/>
                <w:bCs/>
                <w:lang w:val="en-ZA"/>
              </w:rPr>
            </w:pPr>
          </w:p>
        </w:tc>
        <w:tc>
          <w:tcPr>
            <w:tcW w:w="443" w:type="dxa"/>
          </w:tcPr>
          <w:p w14:paraId="54280EB7" w14:textId="31316F9E" w:rsidR="00D045E9" w:rsidRPr="00E90E93" w:rsidRDefault="00D045E9" w:rsidP="00CA2738">
            <w:pPr>
              <w:jc w:val="center"/>
              <w:rPr>
                <w:b/>
                <w:bCs/>
                <w:lang w:val="en-ZA"/>
              </w:rPr>
            </w:pPr>
          </w:p>
        </w:tc>
        <w:tc>
          <w:tcPr>
            <w:tcW w:w="444" w:type="dxa"/>
          </w:tcPr>
          <w:p w14:paraId="1FC967B6" w14:textId="5E6704D6" w:rsidR="00D045E9" w:rsidRPr="00E90E93" w:rsidRDefault="00D045E9" w:rsidP="00CA2738">
            <w:pPr>
              <w:jc w:val="center"/>
              <w:rPr>
                <w:b/>
                <w:bCs/>
                <w:lang w:val="en-ZA"/>
              </w:rPr>
            </w:pPr>
          </w:p>
        </w:tc>
      </w:tr>
      <w:tr w:rsidR="00891B60" w14:paraId="76D81EAB" w14:textId="77777777" w:rsidTr="00CF3DE7">
        <w:tc>
          <w:tcPr>
            <w:tcW w:w="6799" w:type="dxa"/>
          </w:tcPr>
          <w:p w14:paraId="28587180" w14:textId="25FE9239" w:rsidR="00891B60" w:rsidRDefault="00891B60" w:rsidP="00891B60">
            <w:pPr>
              <w:pStyle w:val="ListParagraph"/>
              <w:numPr>
                <w:ilvl w:val="1"/>
                <w:numId w:val="4"/>
              </w:numPr>
              <w:jc w:val="left"/>
              <w:rPr>
                <w:lang w:val="en-ZA"/>
              </w:rPr>
            </w:pPr>
            <w:r>
              <w:rPr>
                <w:lang w:val="en-ZA"/>
              </w:rPr>
              <w:t>Capture staff profiles</w:t>
            </w:r>
          </w:p>
        </w:tc>
        <w:tc>
          <w:tcPr>
            <w:tcW w:w="443" w:type="dxa"/>
          </w:tcPr>
          <w:p w14:paraId="6407103E" w14:textId="734EA577" w:rsidR="00891B60" w:rsidRDefault="00891B60" w:rsidP="00891B60">
            <w:pPr>
              <w:jc w:val="center"/>
              <w:rPr>
                <w:b/>
                <w:bCs/>
                <w:lang w:val="en-ZA"/>
              </w:rPr>
            </w:pPr>
            <w:r>
              <w:rPr>
                <w:b/>
                <w:bCs/>
                <w:lang w:val="en-ZA"/>
              </w:rPr>
              <w:t>1</w:t>
            </w:r>
          </w:p>
        </w:tc>
        <w:tc>
          <w:tcPr>
            <w:tcW w:w="443" w:type="dxa"/>
          </w:tcPr>
          <w:p w14:paraId="7E070511" w14:textId="2B2EB427" w:rsidR="00891B60" w:rsidRDefault="00891B60" w:rsidP="00891B60">
            <w:pPr>
              <w:jc w:val="center"/>
              <w:rPr>
                <w:b/>
                <w:bCs/>
                <w:lang w:val="en-ZA"/>
              </w:rPr>
            </w:pPr>
            <w:r>
              <w:rPr>
                <w:b/>
                <w:bCs/>
                <w:lang w:val="en-ZA"/>
              </w:rPr>
              <w:t>2</w:t>
            </w:r>
          </w:p>
        </w:tc>
        <w:tc>
          <w:tcPr>
            <w:tcW w:w="444" w:type="dxa"/>
          </w:tcPr>
          <w:p w14:paraId="6E5A689D" w14:textId="39C201A1" w:rsidR="00891B60" w:rsidRDefault="00891B60" w:rsidP="00891B60">
            <w:pPr>
              <w:jc w:val="center"/>
              <w:rPr>
                <w:b/>
                <w:bCs/>
                <w:lang w:val="en-ZA"/>
              </w:rPr>
            </w:pPr>
            <w:r>
              <w:rPr>
                <w:b/>
                <w:bCs/>
                <w:lang w:val="en-ZA"/>
              </w:rPr>
              <w:t>3</w:t>
            </w:r>
          </w:p>
        </w:tc>
        <w:tc>
          <w:tcPr>
            <w:tcW w:w="443" w:type="dxa"/>
          </w:tcPr>
          <w:p w14:paraId="1D6C5097" w14:textId="62C53F93" w:rsidR="00891B60" w:rsidRDefault="00891B60" w:rsidP="00891B60">
            <w:pPr>
              <w:jc w:val="center"/>
              <w:rPr>
                <w:b/>
                <w:bCs/>
                <w:lang w:val="en-ZA"/>
              </w:rPr>
            </w:pPr>
            <w:r>
              <w:rPr>
                <w:b/>
                <w:bCs/>
                <w:lang w:val="en-ZA"/>
              </w:rPr>
              <w:t>4</w:t>
            </w:r>
          </w:p>
        </w:tc>
        <w:tc>
          <w:tcPr>
            <w:tcW w:w="444" w:type="dxa"/>
          </w:tcPr>
          <w:p w14:paraId="5F5C6694" w14:textId="4424CC2F" w:rsidR="00891B60" w:rsidRDefault="00891B60" w:rsidP="00891B60">
            <w:pPr>
              <w:jc w:val="center"/>
              <w:rPr>
                <w:b/>
                <w:bCs/>
                <w:lang w:val="en-ZA"/>
              </w:rPr>
            </w:pPr>
            <w:r>
              <w:rPr>
                <w:b/>
                <w:bCs/>
                <w:lang w:val="en-ZA"/>
              </w:rPr>
              <w:t>5</w:t>
            </w:r>
          </w:p>
        </w:tc>
      </w:tr>
      <w:tr w:rsidR="00891B60" w14:paraId="0E0E47A9" w14:textId="77777777" w:rsidTr="00CF3DE7">
        <w:tc>
          <w:tcPr>
            <w:tcW w:w="6799" w:type="dxa"/>
          </w:tcPr>
          <w:p w14:paraId="1BC4F097" w14:textId="6579CC82" w:rsidR="00891B60" w:rsidRPr="00891B60" w:rsidRDefault="00891B60" w:rsidP="00891B60">
            <w:pPr>
              <w:pStyle w:val="ListParagraph"/>
              <w:numPr>
                <w:ilvl w:val="1"/>
                <w:numId w:val="4"/>
              </w:numPr>
              <w:jc w:val="left"/>
              <w:rPr>
                <w:lang w:val="en-ZA"/>
              </w:rPr>
            </w:pPr>
            <w:r>
              <w:rPr>
                <w:lang w:val="en-ZA"/>
              </w:rPr>
              <w:t>Record policy implementation and review</w:t>
            </w:r>
          </w:p>
        </w:tc>
        <w:tc>
          <w:tcPr>
            <w:tcW w:w="443" w:type="dxa"/>
          </w:tcPr>
          <w:p w14:paraId="6D4E877A" w14:textId="1256A76F" w:rsidR="00891B60" w:rsidRDefault="00891B60" w:rsidP="00891B60">
            <w:pPr>
              <w:jc w:val="center"/>
              <w:rPr>
                <w:b/>
                <w:bCs/>
                <w:lang w:val="en-ZA"/>
              </w:rPr>
            </w:pPr>
            <w:r>
              <w:rPr>
                <w:b/>
                <w:bCs/>
                <w:lang w:val="en-ZA"/>
              </w:rPr>
              <w:t>1</w:t>
            </w:r>
          </w:p>
        </w:tc>
        <w:tc>
          <w:tcPr>
            <w:tcW w:w="443" w:type="dxa"/>
          </w:tcPr>
          <w:p w14:paraId="78B03D1E" w14:textId="2162151C" w:rsidR="00891B60" w:rsidRDefault="00891B60" w:rsidP="00891B60">
            <w:pPr>
              <w:jc w:val="center"/>
              <w:rPr>
                <w:b/>
                <w:bCs/>
                <w:lang w:val="en-ZA"/>
              </w:rPr>
            </w:pPr>
            <w:r>
              <w:rPr>
                <w:b/>
                <w:bCs/>
                <w:lang w:val="en-ZA"/>
              </w:rPr>
              <w:t>2</w:t>
            </w:r>
          </w:p>
        </w:tc>
        <w:tc>
          <w:tcPr>
            <w:tcW w:w="444" w:type="dxa"/>
          </w:tcPr>
          <w:p w14:paraId="1C259406" w14:textId="4AD08719" w:rsidR="00891B60" w:rsidRDefault="00891B60" w:rsidP="00891B60">
            <w:pPr>
              <w:jc w:val="center"/>
              <w:rPr>
                <w:b/>
                <w:bCs/>
                <w:lang w:val="en-ZA"/>
              </w:rPr>
            </w:pPr>
            <w:r>
              <w:rPr>
                <w:b/>
                <w:bCs/>
                <w:lang w:val="en-ZA"/>
              </w:rPr>
              <w:t>3</w:t>
            </w:r>
          </w:p>
        </w:tc>
        <w:tc>
          <w:tcPr>
            <w:tcW w:w="443" w:type="dxa"/>
          </w:tcPr>
          <w:p w14:paraId="68AC61D9" w14:textId="3CDB9F33" w:rsidR="00891B60" w:rsidRDefault="00891B60" w:rsidP="00891B60">
            <w:pPr>
              <w:jc w:val="center"/>
              <w:rPr>
                <w:b/>
                <w:bCs/>
                <w:lang w:val="en-ZA"/>
              </w:rPr>
            </w:pPr>
            <w:r>
              <w:rPr>
                <w:b/>
                <w:bCs/>
                <w:lang w:val="en-ZA"/>
              </w:rPr>
              <w:t>4</w:t>
            </w:r>
          </w:p>
        </w:tc>
        <w:tc>
          <w:tcPr>
            <w:tcW w:w="444" w:type="dxa"/>
          </w:tcPr>
          <w:p w14:paraId="3832C076" w14:textId="50774E8E" w:rsidR="00891B60" w:rsidRDefault="00891B60" w:rsidP="00891B60">
            <w:pPr>
              <w:jc w:val="center"/>
              <w:rPr>
                <w:b/>
                <w:bCs/>
                <w:lang w:val="en-ZA"/>
              </w:rPr>
            </w:pPr>
            <w:r>
              <w:rPr>
                <w:b/>
                <w:bCs/>
                <w:lang w:val="en-ZA"/>
              </w:rPr>
              <w:t>5</w:t>
            </w:r>
          </w:p>
        </w:tc>
      </w:tr>
      <w:tr w:rsidR="00891B60" w14:paraId="78C4BD1A" w14:textId="77777777" w:rsidTr="00CF3DE7">
        <w:tc>
          <w:tcPr>
            <w:tcW w:w="6799" w:type="dxa"/>
          </w:tcPr>
          <w:p w14:paraId="45D8E066" w14:textId="53966F5E" w:rsidR="00891B60" w:rsidRPr="00891B60" w:rsidRDefault="00891B60" w:rsidP="00891B60">
            <w:pPr>
              <w:pStyle w:val="ListParagraph"/>
              <w:numPr>
                <w:ilvl w:val="1"/>
                <w:numId w:val="4"/>
              </w:numPr>
              <w:jc w:val="left"/>
              <w:rPr>
                <w:lang w:val="en-ZA"/>
              </w:rPr>
            </w:pPr>
            <w:r>
              <w:rPr>
                <w:lang w:val="en-ZA"/>
              </w:rPr>
              <w:t>Capture performance management</w:t>
            </w:r>
          </w:p>
        </w:tc>
        <w:tc>
          <w:tcPr>
            <w:tcW w:w="443" w:type="dxa"/>
          </w:tcPr>
          <w:p w14:paraId="2C258FA2" w14:textId="139889D2" w:rsidR="00891B60" w:rsidRDefault="00891B60" w:rsidP="00891B60">
            <w:pPr>
              <w:jc w:val="center"/>
              <w:rPr>
                <w:b/>
                <w:bCs/>
                <w:lang w:val="en-ZA"/>
              </w:rPr>
            </w:pPr>
            <w:r>
              <w:rPr>
                <w:b/>
                <w:bCs/>
                <w:lang w:val="en-ZA"/>
              </w:rPr>
              <w:t>1</w:t>
            </w:r>
          </w:p>
        </w:tc>
        <w:tc>
          <w:tcPr>
            <w:tcW w:w="443" w:type="dxa"/>
          </w:tcPr>
          <w:p w14:paraId="380406E1" w14:textId="5DEC0226" w:rsidR="00891B60" w:rsidRDefault="00891B60" w:rsidP="00891B60">
            <w:pPr>
              <w:jc w:val="center"/>
              <w:rPr>
                <w:b/>
                <w:bCs/>
                <w:lang w:val="en-ZA"/>
              </w:rPr>
            </w:pPr>
            <w:r>
              <w:rPr>
                <w:b/>
                <w:bCs/>
                <w:lang w:val="en-ZA"/>
              </w:rPr>
              <w:t>2</w:t>
            </w:r>
          </w:p>
        </w:tc>
        <w:tc>
          <w:tcPr>
            <w:tcW w:w="444" w:type="dxa"/>
          </w:tcPr>
          <w:p w14:paraId="0D88B517" w14:textId="421B42DF" w:rsidR="00891B60" w:rsidRDefault="00891B60" w:rsidP="00891B60">
            <w:pPr>
              <w:jc w:val="center"/>
              <w:rPr>
                <w:b/>
                <w:bCs/>
                <w:lang w:val="en-ZA"/>
              </w:rPr>
            </w:pPr>
            <w:r>
              <w:rPr>
                <w:b/>
                <w:bCs/>
                <w:lang w:val="en-ZA"/>
              </w:rPr>
              <w:t>3</w:t>
            </w:r>
          </w:p>
        </w:tc>
        <w:tc>
          <w:tcPr>
            <w:tcW w:w="443" w:type="dxa"/>
          </w:tcPr>
          <w:p w14:paraId="5097F48B" w14:textId="2AE14166" w:rsidR="00891B60" w:rsidRDefault="00891B60" w:rsidP="00891B60">
            <w:pPr>
              <w:jc w:val="center"/>
              <w:rPr>
                <w:b/>
                <w:bCs/>
                <w:lang w:val="en-ZA"/>
              </w:rPr>
            </w:pPr>
            <w:r>
              <w:rPr>
                <w:b/>
                <w:bCs/>
                <w:lang w:val="en-ZA"/>
              </w:rPr>
              <w:t>4</w:t>
            </w:r>
          </w:p>
        </w:tc>
        <w:tc>
          <w:tcPr>
            <w:tcW w:w="444" w:type="dxa"/>
          </w:tcPr>
          <w:p w14:paraId="708D5362" w14:textId="1E96BE79" w:rsidR="00891B60" w:rsidRDefault="00891B60" w:rsidP="00891B60">
            <w:pPr>
              <w:jc w:val="center"/>
              <w:rPr>
                <w:b/>
                <w:bCs/>
                <w:lang w:val="en-ZA"/>
              </w:rPr>
            </w:pPr>
            <w:r>
              <w:rPr>
                <w:b/>
                <w:bCs/>
                <w:lang w:val="en-ZA"/>
              </w:rPr>
              <w:t>5</w:t>
            </w:r>
          </w:p>
        </w:tc>
      </w:tr>
      <w:tr w:rsidR="00891B60" w14:paraId="29FBCA29" w14:textId="77777777" w:rsidTr="00CF3DE7">
        <w:tc>
          <w:tcPr>
            <w:tcW w:w="6799" w:type="dxa"/>
          </w:tcPr>
          <w:p w14:paraId="3567A0FC" w14:textId="16944420" w:rsidR="00891B60" w:rsidRPr="00891B60" w:rsidRDefault="00891B60" w:rsidP="00891B60">
            <w:pPr>
              <w:pStyle w:val="ListParagraph"/>
              <w:numPr>
                <w:ilvl w:val="1"/>
                <w:numId w:val="4"/>
              </w:numPr>
              <w:jc w:val="left"/>
              <w:rPr>
                <w:lang w:val="en-ZA"/>
              </w:rPr>
            </w:pPr>
            <w:r>
              <w:rPr>
                <w:lang w:val="en-ZA"/>
              </w:rPr>
              <w:t>Flag staff development needs</w:t>
            </w:r>
          </w:p>
        </w:tc>
        <w:tc>
          <w:tcPr>
            <w:tcW w:w="443" w:type="dxa"/>
          </w:tcPr>
          <w:p w14:paraId="6397A4F5" w14:textId="7DCCC4DA" w:rsidR="00891B60" w:rsidRDefault="00891B60" w:rsidP="00891B60">
            <w:pPr>
              <w:jc w:val="center"/>
              <w:rPr>
                <w:b/>
                <w:bCs/>
                <w:lang w:val="en-ZA"/>
              </w:rPr>
            </w:pPr>
            <w:r>
              <w:rPr>
                <w:b/>
                <w:bCs/>
                <w:lang w:val="en-ZA"/>
              </w:rPr>
              <w:t>1</w:t>
            </w:r>
          </w:p>
        </w:tc>
        <w:tc>
          <w:tcPr>
            <w:tcW w:w="443" w:type="dxa"/>
          </w:tcPr>
          <w:p w14:paraId="4BA03ACC" w14:textId="33A8DAAE" w:rsidR="00891B60" w:rsidRDefault="00891B60" w:rsidP="00891B60">
            <w:pPr>
              <w:jc w:val="center"/>
              <w:rPr>
                <w:b/>
                <w:bCs/>
                <w:lang w:val="en-ZA"/>
              </w:rPr>
            </w:pPr>
            <w:r>
              <w:rPr>
                <w:b/>
                <w:bCs/>
                <w:lang w:val="en-ZA"/>
              </w:rPr>
              <w:t>2</w:t>
            </w:r>
          </w:p>
        </w:tc>
        <w:tc>
          <w:tcPr>
            <w:tcW w:w="444" w:type="dxa"/>
          </w:tcPr>
          <w:p w14:paraId="5CFC7E3F" w14:textId="6FDA05DF" w:rsidR="00891B60" w:rsidRDefault="00891B60" w:rsidP="00891B60">
            <w:pPr>
              <w:jc w:val="center"/>
              <w:rPr>
                <w:b/>
                <w:bCs/>
                <w:lang w:val="en-ZA"/>
              </w:rPr>
            </w:pPr>
            <w:r>
              <w:rPr>
                <w:b/>
                <w:bCs/>
                <w:lang w:val="en-ZA"/>
              </w:rPr>
              <w:t>3</w:t>
            </w:r>
          </w:p>
        </w:tc>
        <w:tc>
          <w:tcPr>
            <w:tcW w:w="443" w:type="dxa"/>
          </w:tcPr>
          <w:p w14:paraId="5D84246E" w14:textId="1A2032DA" w:rsidR="00891B60" w:rsidRDefault="00891B60" w:rsidP="00891B60">
            <w:pPr>
              <w:jc w:val="center"/>
              <w:rPr>
                <w:b/>
                <w:bCs/>
                <w:lang w:val="en-ZA"/>
              </w:rPr>
            </w:pPr>
            <w:r>
              <w:rPr>
                <w:b/>
                <w:bCs/>
                <w:lang w:val="en-ZA"/>
              </w:rPr>
              <w:t>4</w:t>
            </w:r>
          </w:p>
        </w:tc>
        <w:tc>
          <w:tcPr>
            <w:tcW w:w="444" w:type="dxa"/>
          </w:tcPr>
          <w:p w14:paraId="31767F3B" w14:textId="604B8BF7" w:rsidR="00891B60" w:rsidRDefault="00891B60" w:rsidP="00891B60">
            <w:pPr>
              <w:jc w:val="center"/>
              <w:rPr>
                <w:b/>
                <w:bCs/>
                <w:lang w:val="en-ZA"/>
              </w:rPr>
            </w:pPr>
            <w:r>
              <w:rPr>
                <w:b/>
                <w:bCs/>
                <w:lang w:val="en-ZA"/>
              </w:rPr>
              <w:t>5</w:t>
            </w:r>
          </w:p>
        </w:tc>
      </w:tr>
      <w:tr w:rsidR="00891B60" w14:paraId="720E5F9B" w14:textId="77777777" w:rsidTr="00CF3DE7">
        <w:tc>
          <w:tcPr>
            <w:tcW w:w="6799" w:type="dxa"/>
          </w:tcPr>
          <w:p w14:paraId="2BD5FBDC" w14:textId="41BDFF42" w:rsidR="00891B60" w:rsidRDefault="00891B60" w:rsidP="00891B60">
            <w:pPr>
              <w:pStyle w:val="ListParagraph"/>
              <w:numPr>
                <w:ilvl w:val="1"/>
                <w:numId w:val="4"/>
              </w:numPr>
              <w:jc w:val="left"/>
              <w:rPr>
                <w:lang w:val="en-ZA"/>
              </w:rPr>
            </w:pPr>
            <w:r>
              <w:rPr>
                <w:lang w:val="en-ZA"/>
              </w:rPr>
              <w:t>Provide real-time dashboards on HR information</w:t>
            </w:r>
          </w:p>
        </w:tc>
        <w:tc>
          <w:tcPr>
            <w:tcW w:w="443" w:type="dxa"/>
          </w:tcPr>
          <w:p w14:paraId="4B2BE6FC" w14:textId="20962D27" w:rsidR="00891B60" w:rsidRDefault="00891B60" w:rsidP="00891B60">
            <w:pPr>
              <w:jc w:val="center"/>
              <w:rPr>
                <w:b/>
                <w:bCs/>
                <w:lang w:val="en-ZA"/>
              </w:rPr>
            </w:pPr>
            <w:r>
              <w:rPr>
                <w:b/>
                <w:bCs/>
                <w:lang w:val="en-ZA"/>
              </w:rPr>
              <w:t>1</w:t>
            </w:r>
          </w:p>
        </w:tc>
        <w:tc>
          <w:tcPr>
            <w:tcW w:w="443" w:type="dxa"/>
          </w:tcPr>
          <w:p w14:paraId="6E4936FF" w14:textId="3C4EF25B" w:rsidR="00891B60" w:rsidRDefault="00891B60" w:rsidP="00891B60">
            <w:pPr>
              <w:jc w:val="center"/>
              <w:rPr>
                <w:b/>
                <w:bCs/>
                <w:lang w:val="en-ZA"/>
              </w:rPr>
            </w:pPr>
            <w:r>
              <w:rPr>
                <w:b/>
                <w:bCs/>
                <w:lang w:val="en-ZA"/>
              </w:rPr>
              <w:t>2</w:t>
            </w:r>
          </w:p>
        </w:tc>
        <w:tc>
          <w:tcPr>
            <w:tcW w:w="444" w:type="dxa"/>
          </w:tcPr>
          <w:p w14:paraId="09CFD298" w14:textId="3BB467F2" w:rsidR="00891B60" w:rsidRDefault="00891B60" w:rsidP="00891B60">
            <w:pPr>
              <w:jc w:val="center"/>
              <w:rPr>
                <w:b/>
                <w:bCs/>
                <w:lang w:val="en-ZA"/>
              </w:rPr>
            </w:pPr>
            <w:r>
              <w:rPr>
                <w:b/>
                <w:bCs/>
                <w:lang w:val="en-ZA"/>
              </w:rPr>
              <w:t>3</w:t>
            </w:r>
          </w:p>
        </w:tc>
        <w:tc>
          <w:tcPr>
            <w:tcW w:w="443" w:type="dxa"/>
          </w:tcPr>
          <w:p w14:paraId="04CED1BC" w14:textId="1304956B" w:rsidR="00891B60" w:rsidRDefault="00891B60" w:rsidP="00891B60">
            <w:pPr>
              <w:jc w:val="center"/>
              <w:rPr>
                <w:b/>
                <w:bCs/>
                <w:lang w:val="en-ZA"/>
              </w:rPr>
            </w:pPr>
            <w:r>
              <w:rPr>
                <w:b/>
                <w:bCs/>
                <w:lang w:val="en-ZA"/>
              </w:rPr>
              <w:t>4</w:t>
            </w:r>
          </w:p>
        </w:tc>
        <w:tc>
          <w:tcPr>
            <w:tcW w:w="444" w:type="dxa"/>
          </w:tcPr>
          <w:p w14:paraId="0D50DBD6" w14:textId="31E4EFEE" w:rsidR="00891B60" w:rsidRDefault="00891B60" w:rsidP="00891B60">
            <w:pPr>
              <w:jc w:val="center"/>
              <w:rPr>
                <w:b/>
                <w:bCs/>
                <w:lang w:val="en-ZA"/>
              </w:rPr>
            </w:pPr>
            <w:r>
              <w:rPr>
                <w:b/>
                <w:bCs/>
                <w:lang w:val="en-ZA"/>
              </w:rPr>
              <w:t>5</w:t>
            </w:r>
          </w:p>
        </w:tc>
      </w:tr>
      <w:tr w:rsidR="00570F94" w14:paraId="3F4018D4" w14:textId="77777777" w:rsidTr="00CF3DE7">
        <w:tc>
          <w:tcPr>
            <w:tcW w:w="6799" w:type="dxa"/>
          </w:tcPr>
          <w:p w14:paraId="2D320F3F" w14:textId="09C8EC29" w:rsidR="00570F94" w:rsidRDefault="00570F94" w:rsidP="00041238">
            <w:pPr>
              <w:pStyle w:val="ListParagraph"/>
              <w:numPr>
                <w:ilvl w:val="0"/>
                <w:numId w:val="6"/>
              </w:numPr>
              <w:jc w:val="left"/>
              <w:rPr>
                <w:lang w:val="en-ZA"/>
              </w:rPr>
            </w:pPr>
            <w:r>
              <w:rPr>
                <w:lang w:val="en-ZA"/>
              </w:rPr>
              <w:t xml:space="preserve">HR software </w:t>
            </w:r>
            <w:r w:rsidR="009356B1">
              <w:rPr>
                <w:lang w:val="en-ZA"/>
              </w:rPr>
              <w:t>is interoperable</w:t>
            </w:r>
            <w:r w:rsidR="00891B60">
              <w:rPr>
                <w:lang w:val="en-ZA"/>
              </w:rPr>
              <w:t>/compatible</w:t>
            </w:r>
            <w:r w:rsidR="009356B1">
              <w:rPr>
                <w:lang w:val="en-ZA"/>
              </w:rPr>
              <w:t xml:space="preserve"> with other institutional software (such as to manage payroll)</w:t>
            </w:r>
          </w:p>
        </w:tc>
        <w:tc>
          <w:tcPr>
            <w:tcW w:w="443" w:type="dxa"/>
          </w:tcPr>
          <w:p w14:paraId="747FB255" w14:textId="27C1E7F8" w:rsidR="00570F94" w:rsidRDefault="009356B1" w:rsidP="00CA2738">
            <w:pPr>
              <w:jc w:val="center"/>
              <w:rPr>
                <w:b/>
                <w:bCs/>
                <w:lang w:val="en-ZA"/>
              </w:rPr>
            </w:pPr>
            <w:r>
              <w:rPr>
                <w:b/>
                <w:bCs/>
                <w:lang w:val="en-ZA"/>
              </w:rPr>
              <w:t>1</w:t>
            </w:r>
          </w:p>
        </w:tc>
        <w:tc>
          <w:tcPr>
            <w:tcW w:w="443" w:type="dxa"/>
          </w:tcPr>
          <w:p w14:paraId="61E96DE6" w14:textId="54ECDB4D" w:rsidR="00570F94" w:rsidRDefault="009356B1" w:rsidP="00CA2738">
            <w:pPr>
              <w:jc w:val="center"/>
              <w:rPr>
                <w:b/>
                <w:bCs/>
                <w:lang w:val="en-ZA"/>
              </w:rPr>
            </w:pPr>
            <w:r>
              <w:rPr>
                <w:b/>
                <w:bCs/>
                <w:lang w:val="en-ZA"/>
              </w:rPr>
              <w:t>2</w:t>
            </w:r>
          </w:p>
        </w:tc>
        <w:tc>
          <w:tcPr>
            <w:tcW w:w="444" w:type="dxa"/>
          </w:tcPr>
          <w:p w14:paraId="5329F6AE" w14:textId="1DA5FA62" w:rsidR="00570F94" w:rsidRDefault="009356B1" w:rsidP="00CA2738">
            <w:pPr>
              <w:jc w:val="center"/>
              <w:rPr>
                <w:b/>
                <w:bCs/>
                <w:lang w:val="en-ZA"/>
              </w:rPr>
            </w:pPr>
            <w:r>
              <w:rPr>
                <w:b/>
                <w:bCs/>
                <w:lang w:val="en-ZA"/>
              </w:rPr>
              <w:t>3</w:t>
            </w:r>
          </w:p>
        </w:tc>
        <w:tc>
          <w:tcPr>
            <w:tcW w:w="443" w:type="dxa"/>
          </w:tcPr>
          <w:p w14:paraId="0BE96128" w14:textId="03833A2D" w:rsidR="00570F94" w:rsidRDefault="009356B1" w:rsidP="00CA2738">
            <w:pPr>
              <w:jc w:val="center"/>
              <w:rPr>
                <w:b/>
                <w:bCs/>
                <w:lang w:val="en-ZA"/>
              </w:rPr>
            </w:pPr>
            <w:r>
              <w:rPr>
                <w:b/>
                <w:bCs/>
                <w:lang w:val="en-ZA"/>
              </w:rPr>
              <w:t>4</w:t>
            </w:r>
          </w:p>
        </w:tc>
        <w:tc>
          <w:tcPr>
            <w:tcW w:w="444" w:type="dxa"/>
          </w:tcPr>
          <w:p w14:paraId="1340FD3F" w14:textId="5C5B8924" w:rsidR="00570F94" w:rsidRDefault="009356B1" w:rsidP="00CA2738">
            <w:pPr>
              <w:jc w:val="center"/>
              <w:rPr>
                <w:b/>
                <w:bCs/>
                <w:lang w:val="en-ZA"/>
              </w:rPr>
            </w:pPr>
            <w:r>
              <w:rPr>
                <w:b/>
                <w:bCs/>
                <w:lang w:val="en-ZA"/>
              </w:rPr>
              <w:t>5</w:t>
            </w:r>
          </w:p>
        </w:tc>
      </w:tr>
      <w:tr w:rsidR="00F46D36" w14:paraId="684EE675" w14:textId="77777777" w:rsidTr="00CF3DE7">
        <w:tc>
          <w:tcPr>
            <w:tcW w:w="6799" w:type="dxa"/>
          </w:tcPr>
          <w:p w14:paraId="081FCE3F" w14:textId="79D1999C" w:rsidR="00F46D36" w:rsidRDefault="00A03935" w:rsidP="00041238">
            <w:pPr>
              <w:pStyle w:val="ListParagraph"/>
              <w:numPr>
                <w:ilvl w:val="0"/>
                <w:numId w:val="6"/>
              </w:numPr>
              <w:jc w:val="left"/>
              <w:rPr>
                <w:lang w:val="en-ZA"/>
              </w:rPr>
            </w:pPr>
            <w:r>
              <w:rPr>
                <w:lang w:val="en-ZA"/>
              </w:rPr>
              <w:t xml:space="preserve">All HR data management </w:t>
            </w:r>
            <w:r w:rsidR="00C93F3B">
              <w:rPr>
                <w:lang w:val="en-ZA"/>
              </w:rPr>
              <w:t>processes are governed by an institutional data management policy</w:t>
            </w:r>
          </w:p>
        </w:tc>
        <w:tc>
          <w:tcPr>
            <w:tcW w:w="443" w:type="dxa"/>
          </w:tcPr>
          <w:p w14:paraId="4737F2DF" w14:textId="7699CF7D" w:rsidR="00F46D36" w:rsidRPr="00E90E93" w:rsidRDefault="00C93F3B" w:rsidP="00CA2738">
            <w:pPr>
              <w:jc w:val="center"/>
              <w:rPr>
                <w:b/>
                <w:bCs/>
                <w:lang w:val="en-ZA"/>
              </w:rPr>
            </w:pPr>
            <w:r>
              <w:rPr>
                <w:b/>
                <w:bCs/>
                <w:lang w:val="en-ZA"/>
              </w:rPr>
              <w:t>1</w:t>
            </w:r>
          </w:p>
        </w:tc>
        <w:tc>
          <w:tcPr>
            <w:tcW w:w="443" w:type="dxa"/>
          </w:tcPr>
          <w:p w14:paraId="486D2064" w14:textId="05B9DF08" w:rsidR="00F46D36" w:rsidRPr="00E90E93" w:rsidRDefault="00C93F3B" w:rsidP="00CA2738">
            <w:pPr>
              <w:jc w:val="center"/>
              <w:rPr>
                <w:b/>
                <w:bCs/>
                <w:lang w:val="en-ZA"/>
              </w:rPr>
            </w:pPr>
            <w:r>
              <w:rPr>
                <w:b/>
                <w:bCs/>
                <w:lang w:val="en-ZA"/>
              </w:rPr>
              <w:t>2</w:t>
            </w:r>
          </w:p>
        </w:tc>
        <w:tc>
          <w:tcPr>
            <w:tcW w:w="444" w:type="dxa"/>
          </w:tcPr>
          <w:p w14:paraId="1D806BD4" w14:textId="46ADE9AE" w:rsidR="00F46D36" w:rsidRPr="00E90E93" w:rsidRDefault="00C93F3B" w:rsidP="00CA2738">
            <w:pPr>
              <w:jc w:val="center"/>
              <w:rPr>
                <w:b/>
                <w:bCs/>
                <w:lang w:val="en-ZA"/>
              </w:rPr>
            </w:pPr>
            <w:r>
              <w:rPr>
                <w:b/>
                <w:bCs/>
                <w:lang w:val="en-ZA"/>
              </w:rPr>
              <w:t>3</w:t>
            </w:r>
          </w:p>
        </w:tc>
        <w:tc>
          <w:tcPr>
            <w:tcW w:w="443" w:type="dxa"/>
          </w:tcPr>
          <w:p w14:paraId="62B57323" w14:textId="18EAA5C2" w:rsidR="00F46D36" w:rsidRPr="00E90E93" w:rsidRDefault="00C93F3B" w:rsidP="00CA2738">
            <w:pPr>
              <w:jc w:val="center"/>
              <w:rPr>
                <w:b/>
                <w:bCs/>
                <w:lang w:val="en-ZA"/>
              </w:rPr>
            </w:pPr>
            <w:r>
              <w:rPr>
                <w:b/>
                <w:bCs/>
                <w:lang w:val="en-ZA"/>
              </w:rPr>
              <w:t>4</w:t>
            </w:r>
          </w:p>
        </w:tc>
        <w:tc>
          <w:tcPr>
            <w:tcW w:w="444" w:type="dxa"/>
          </w:tcPr>
          <w:p w14:paraId="660EFEB9" w14:textId="7CE5CC61" w:rsidR="00F46D36" w:rsidRPr="00E90E93" w:rsidRDefault="00C93F3B" w:rsidP="00CA2738">
            <w:pPr>
              <w:jc w:val="center"/>
              <w:rPr>
                <w:b/>
                <w:bCs/>
                <w:lang w:val="en-ZA"/>
              </w:rPr>
            </w:pPr>
            <w:r>
              <w:rPr>
                <w:b/>
                <w:bCs/>
                <w:lang w:val="en-ZA"/>
              </w:rPr>
              <w:t>5</w:t>
            </w:r>
          </w:p>
        </w:tc>
      </w:tr>
      <w:tr w:rsidR="00F46D36" w14:paraId="1028827E" w14:textId="77777777" w:rsidTr="00CF3DE7">
        <w:tc>
          <w:tcPr>
            <w:tcW w:w="6799" w:type="dxa"/>
          </w:tcPr>
          <w:p w14:paraId="2B5B787F" w14:textId="7B333589" w:rsidR="00F46D36" w:rsidRDefault="00C93F3B" w:rsidP="00041238">
            <w:pPr>
              <w:pStyle w:val="ListParagraph"/>
              <w:numPr>
                <w:ilvl w:val="0"/>
                <w:numId w:val="6"/>
              </w:numPr>
              <w:jc w:val="left"/>
              <w:rPr>
                <w:lang w:val="en-ZA"/>
              </w:rPr>
            </w:pPr>
            <w:r>
              <w:rPr>
                <w:lang w:val="en-ZA"/>
              </w:rPr>
              <w:t>All HR data are subject to institutional data privacy and security policy</w:t>
            </w:r>
          </w:p>
        </w:tc>
        <w:tc>
          <w:tcPr>
            <w:tcW w:w="443" w:type="dxa"/>
          </w:tcPr>
          <w:p w14:paraId="6F2A7CAC" w14:textId="16DE9B54" w:rsidR="00F46D36" w:rsidRPr="00E90E93" w:rsidRDefault="00C93F3B" w:rsidP="00CA2738">
            <w:pPr>
              <w:jc w:val="center"/>
              <w:rPr>
                <w:b/>
                <w:bCs/>
                <w:lang w:val="en-ZA"/>
              </w:rPr>
            </w:pPr>
            <w:r>
              <w:rPr>
                <w:b/>
                <w:bCs/>
                <w:lang w:val="en-ZA"/>
              </w:rPr>
              <w:t>1</w:t>
            </w:r>
          </w:p>
        </w:tc>
        <w:tc>
          <w:tcPr>
            <w:tcW w:w="443" w:type="dxa"/>
          </w:tcPr>
          <w:p w14:paraId="4BFDB8D6" w14:textId="74F9A32E" w:rsidR="00F46D36" w:rsidRPr="00E90E93" w:rsidRDefault="00C93F3B" w:rsidP="00CA2738">
            <w:pPr>
              <w:jc w:val="center"/>
              <w:rPr>
                <w:b/>
                <w:bCs/>
                <w:lang w:val="en-ZA"/>
              </w:rPr>
            </w:pPr>
            <w:r>
              <w:rPr>
                <w:b/>
                <w:bCs/>
                <w:lang w:val="en-ZA"/>
              </w:rPr>
              <w:t>2</w:t>
            </w:r>
          </w:p>
        </w:tc>
        <w:tc>
          <w:tcPr>
            <w:tcW w:w="444" w:type="dxa"/>
          </w:tcPr>
          <w:p w14:paraId="5FA8C860" w14:textId="27F6085C" w:rsidR="00F46D36" w:rsidRPr="00E90E93" w:rsidRDefault="00C93F3B" w:rsidP="00CA2738">
            <w:pPr>
              <w:jc w:val="center"/>
              <w:rPr>
                <w:b/>
                <w:bCs/>
                <w:lang w:val="en-ZA"/>
              </w:rPr>
            </w:pPr>
            <w:r>
              <w:rPr>
                <w:b/>
                <w:bCs/>
                <w:lang w:val="en-ZA"/>
              </w:rPr>
              <w:t>3</w:t>
            </w:r>
          </w:p>
        </w:tc>
        <w:tc>
          <w:tcPr>
            <w:tcW w:w="443" w:type="dxa"/>
          </w:tcPr>
          <w:p w14:paraId="691BF486" w14:textId="24AB7396" w:rsidR="00F46D36" w:rsidRPr="00E90E93" w:rsidRDefault="00C93F3B" w:rsidP="00CA2738">
            <w:pPr>
              <w:jc w:val="center"/>
              <w:rPr>
                <w:b/>
                <w:bCs/>
                <w:lang w:val="en-ZA"/>
              </w:rPr>
            </w:pPr>
            <w:r>
              <w:rPr>
                <w:b/>
                <w:bCs/>
                <w:lang w:val="en-ZA"/>
              </w:rPr>
              <w:t>4</w:t>
            </w:r>
          </w:p>
        </w:tc>
        <w:tc>
          <w:tcPr>
            <w:tcW w:w="444" w:type="dxa"/>
          </w:tcPr>
          <w:p w14:paraId="708096DD" w14:textId="607E03E1" w:rsidR="00F46D36" w:rsidRPr="00E90E93" w:rsidRDefault="00C93F3B" w:rsidP="00CA2738">
            <w:pPr>
              <w:jc w:val="center"/>
              <w:rPr>
                <w:b/>
                <w:bCs/>
                <w:lang w:val="en-ZA"/>
              </w:rPr>
            </w:pPr>
            <w:r>
              <w:rPr>
                <w:b/>
                <w:bCs/>
                <w:lang w:val="en-ZA"/>
              </w:rPr>
              <w:t>5</w:t>
            </w:r>
          </w:p>
        </w:tc>
      </w:tr>
      <w:tr w:rsidR="00F46D36" w14:paraId="685B4D81" w14:textId="77777777" w:rsidTr="00C25049">
        <w:tc>
          <w:tcPr>
            <w:tcW w:w="9016" w:type="dxa"/>
            <w:gridSpan w:val="6"/>
            <w:shd w:val="clear" w:color="auto" w:fill="DBE5F1" w:themeFill="accent1" w:themeFillTint="33"/>
          </w:tcPr>
          <w:p w14:paraId="531F06F9" w14:textId="7E625D61" w:rsidR="00F46D36" w:rsidRPr="00E90E93" w:rsidRDefault="00F46D36" w:rsidP="00F46D36">
            <w:pPr>
              <w:rPr>
                <w:b/>
                <w:bCs/>
                <w:lang w:val="en-ZA"/>
              </w:rPr>
            </w:pPr>
            <w:r>
              <w:rPr>
                <w:b/>
                <w:bCs/>
                <w:lang w:val="en-ZA"/>
              </w:rPr>
              <w:t>HR professionals</w:t>
            </w:r>
          </w:p>
        </w:tc>
      </w:tr>
      <w:tr w:rsidR="00F46D36" w14:paraId="59CC0BA1" w14:textId="77777777" w:rsidTr="00CF3DE7">
        <w:tc>
          <w:tcPr>
            <w:tcW w:w="6799" w:type="dxa"/>
          </w:tcPr>
          <w:p w14:paraId="32DC9AB7" w14:textId="5850A02F" w:rsidR="00F46D36" w:rsidRDefault="00271A12" w:rsidP="00041238">
            <w:pPr>
              <w:pStyle w:val="ListParagraph"/>
              <w:numPr>
                <w:ilvl w:val="0"/>
                <w:numId w:val="6"/>
              </w:numPr>
              <w:jc w:val="left"/>
              <w:rPr>
                <w:lang w:val="en-ZA"/>
              </w:rPr>
            </w:pPr>
            <w:r>
              <w:rPr>
                <w:lang w:val="en-ZA"/>
              </w:rPr>
              <w:t>The institution has sufficient HR capacity to meet demands</w:t>
            </w:r>
          </w:p>
        </w:tc>
        <w:tc>
          <w:tcPr>
            <w:tcW w:w="443" w:type="dxa"/>
          </w:tcPr>
          <w:p w14:paraId="54282955" w14:textId="2BBDE6F1" w:rsidR="00F46D36" w:rsidRPr="00E90E93" w:rsidRDefault="00351390" w:rsidP="00CA2738">
            <w:pPr>
              <w:jc w:val="center"/>
              <w:rPr>
                <w:b/>
                <w:bCs/>
                <w:lang w:val="en-ZA"/>
              </w:rPr>
            </w:pPr>
            <w:r>
              <w:rPr>
                <w:b/>
                <w:bCs/>
                <w:lang w:val="en-ZA"/>
              </w:rPr>
              <w:t>1</w:t>
            </w:r>
          </w:p>
        </w:tc>
        <w:tc>
          <w:tcPr>
            <w:tcW w:w="443" w:type="dxa"/>
          </w:tcPr>
          <w:p w14:paraId="23C68D54" w14:textId="2F517249" w:rsidR="00F46D36" w:rsidRPr="00E90E93" w:rsidRDefault="00351390" w:rsidP="00CA2738">
            <w:pPr>
              <w:jc w:val="center"/>
              <w:rPr>
                <w:b/>
                <w:bCs/>
                <w:lang w:val="en-ZA"/>
              </w:rPr>
            </w:pPr>
            <w:r>
              <w:rPr>
                <w:b/>
                <w:bCs/>
                <w:lang w:val="en-ZA"/>
              </w:rPr>
              <w:t>2</w:t>
            </w:r>
          </w:p>
        </w:tc>
        <w:tc>
          <w:tcPr>
            <w:tcW w:w="444" w:type="dxa"/>
          </w:tcPr>
          <w:p w14:paraId="13289521" w14:textId="629A1FFA" w:rsidR="00F46D36" w:rsidRPr="00E90E93" w:rsidRDefault="00351390" w:rsidP="00CA2738">
            <w:pPr>
              <w:jc w:val="center"/>
              <w:rPr>
                <w:b/>
                <w:bCs/>
                <w:lang w:val="en-ZA"/>
              </w:rPr>
            </w:pPr>
            <w:r>
              <w:rPr>
                <w:b/>
                <w:bCs/>
                <w:lang w:val="en-ZA"/>
              </w:rPr>
              <w:t>3</w:t>
            </w:r>
          </w:p>
        </w:tc>
        <w:tc>
          <w:tcPr>
            <w:tcW w:w="443" w:type="dxa"/>
          </w:tcPr>
          <w:p w14:paraId="16EDBCA7" w14:textId="4DC9A245" w:rsidR="00F46D36" w:rsidRPr="00E90E93" w:rsidRDefault="00351390" w:rsidP="00CA2738">
            <w:pPr>
              <w:jc w:val="center"/>
              <w:rPr>
                <w:b/>
                <w:bCs/>
                <w:lang w:val="en-ZA"/>
              </w:rPr>
            </w:pPr>
            <w:r>
              <w:rPr>
                <w:b/>
                <w:bCs/>
                <w:lang w:val="en-ZA"/>
              </w:rPr>
              <w:t>4</w:t>
            </w:r>
          </w:p>
        </w:tc>
        <w:tc>
          <w:tcPr>
            <w:tcW w:w="444" w:type="dxa"/>
          </w:tcPr>
          <w:p w14:paraId="396B05D8" w14:textId="4B6312D9" w:rsidR="00F46D36" w:rsidRPr="00E90E93" w:rsidRDefault="00351390" w:rsidP="00CA2738">
            <w:pPr>
              <w:jc w:val="center"/>
              <w:rPr>
                <w:b/>
                <w:bCs/>
                <w:lang w:val="en-ZA"/>
              </w:rPr>
            </w:pPr>
            <w:r>
              <w:rPr>
                <w:b/>
                <w:bCs/>
                <w:lang w:val="en-ZA"/>
              </w:rPr>
              <w:t>5</w:t>
            </w:r>
          </w:p>
        </w:tc>
      </w:tr>
      <w:tr w:rsidR="00F46D36" w14:paraId="14D19DDA" w14:textId="77777777" w:rsidTr="00CF3DE7">
        <w:tc>
          <w:tcPr>
            <w:tcW w:w="6799" w:type="dxa"/>
          </w:tcPr>
          <w:p w14:paraId="6ECC1E27" w14:textId="2CCD2517" w:rsidR="00F46D36" w:rsidRDefault="00271A12" w:rsidP="00041238">
            <w:pPr>
              <w:pStyle w:val="ListParagraph"/>
              <w:numPr>
                <w:ilvl w:val="0"/>
                <w:numId w:val="6"/>
              </w:numPr>
              <w:jc w:val="left"/>
              <w:rPr>
                <w:lang w:val="en-ZA"/>
              </w:rPr>
            </w:pPr>
            <w:r>
              <w:rPr>
                <w:lang w:val="en-ZA"/>
              </w:rPr>
              <w:t xml:space="preserve">HR professionals are required to </w:t>
            </w:r>
            <w:r w:rsidR="0019393A">
              <w:rPr>
                <w:lang w:val="en-ZA"/>
              </w:rPr>
              <w:t>engage in regular continuous professional development opportunities</w:t>
            </w:r>
          </w:p>
        </w:tc>
        <w:tc>
          <w:tcPr>
            <w:tcW w:w="443" w:type="dxa"/>
          </w:tcPr>
          <w:p w14:paraId="27ADA56C" w14:textId="32D6EA3F" w:rsidR="00F46D36" w:rsidRPr="00E90E93" w:rsidRDefault="00351390" w:rsidP="00CA2738">
            <w:pPr>
              <w:jc w:val="center"/>
              <w:rPr>
                <w:b/>
                <w:bCs/>
                <w:lang w:val="en-ZA"/>
              </w:rPr>
            </w:pPr>
            <w:r>
              <w:rPr>
                <w:b/>
                <w:bCs/>
                <w:lang w:val="en-ZA"/>
              </w:rPr>
              <w:t>1</w:t>
            </w:r>
          </w:p>
        </w:tc>
        <w:tc>
          <w:tcPr>
            <w:tcW w:w="443" w:type="dxa"/>
          </w:tcPr>
          <w:p w14:paraId="4BAFDF66" w14:textId="79E53D70" w:rsidR="00F46D36" w:rsidRPr="00E90E93" w:rsidRDefault="00351390" w:rsidP="00CA2738">
            <w:pPr>
              <w:jc w:val="center"/>
              <w:rPr>
                <w:b/>
                <w:bCs/>
                <w:lang w:val="en-ZA"/>
              </w:rPr>
            </w:pPr>
            <w:r>
              <w:rPr>
                <w:b/>
                <w:bCs/>
                <w:lang w:val="en-ZA"/>
              </w:rPr>
              <w:t>2</w:t>
            </w:r>
          </w:p>
        </w:tc>
        <w:tc>
          <w:tcPr>
            <w:tcW w:w="444" w:type="dxa"/>
          </w:tcPr>
          <w:p w14:paraId="351A2A9D" w14:textId="6A72E79F" w:rsidR="00F46D36" w:rsidRPr="00E90E93" w:rsidRDefault="00351390" w:rsidP="00CA2738">
            <w:pPr>
              <w:jc w:val="center"/>
              <w:rPr>
                <w:b/>
                <w:bCs/>
                <w:lang w:val="en-ZA"/>
              </w:rPr>
            </w:pPr>
            <w:r>
              <w:rPr>
                <w:b/>
                <w:bCs/>
                <w:lang w:val="en-ZA"/>
              </w:rPr>
              <w:t>3</w:t>
            </w:r>
          </w:p>
        </w:tc>
        <w:tc>
          <w:tcPr>
            <w:tcW w:w="443" w:type="dxa"/>
          </w:tcPr>
          <w:p w14:paraId="47E1ABB7" w14:textId="552CBB5E" w:rsidR="00F46D36" w:rsidRPr="00E90E93" w:rsidRDefault="00351390" w:rsidP="00CA2738">
            <w:pPr>
              <w:jc w:val="center"/>
              <w:rPr>
                <w:b/>
                <w:bCs/>
                <w:lang w:val="en-ZA"/>
              </w:rPr>
            </w:pPr>
            <w:r>
              <w:rPr>
                <w:b/>
                <w:bCs/>
                <w:lang w:val="en-ZA"/>
              </w:rPr>
              <w:t>4</w:t>
            </w:r>
          </w:p>
        </w:tc>
        <w:tc>
          <w:tcPr>
            <w:tcW w:w="444" w:type="dxa"/>
          </w:tcPr>
          <w:p w14:paraId="37856DCA" w14:textId="301CE19C" w:rsidR="00F46D36" w:rsidRPr="00E90E93" w:rsidRDefault="00351390" w:rsidP="00CA2738">
            <w:pPr>
              <w:jc w:val="center"/>
              <w:rPr>
                <w:b/>
                <w:bCs/>
                <w:lang w:val="en-ZA"/>
              </w:rPr>
            </w:pPr>
            <w:r>
              <w:rPr>
                <w:b/>
                <w:bCs/>
                <w:lang w:val="en-ZA"/>
              </w:rPr>
              <w:t>5</w:t>
            </w:r>
          </w:p>
        </w:tc>
      </w:tr>
      <w:tr w:rsidR="00582D9C" w14:paraId="7F6E8615" w14:textId="77777777" w:rsidTr="00CF3DE7">
        <w:tc>
          <w:tcPr>
            <w:tcW w:w="6799" w:type="dxa"/>
          </w:tcPr>
          <w:p w14:paraId="30B47EDE" w14:textId="14705694" w:rsidR="00582D9C" w:rsidRDefault="00582D9C" w:rsidP="00041238">
            <w:pPr>
              <w:pStyle w:val="ListParagraph"/>
              <w:numPr>
                <w:ilvl w:val="0"/>
                <w:numId w:val="6"/>
              </w:numPr>
              <w:jc w:val="left"/>
              <w:rPr>
                <w:lang w:val="en-ZA"/>
              </w:rPr>
            </w:pPr>
            <w:r>
              <w:rPr>
                <w:lang w:val="en-ZA"/>
              </w:rPr>
              <w:t>HR has sufficient technical support to implement and maintain HR software</w:t>
            </w:r>
          </w:p>
        </w:tc>
        <w:tc>
          <w:tcPr>
            <w:tcW w:w="443" w:type="dxa"/>
          </w:tcPr>
          <w:p w14:paraId="1773E11E" w14:textId="34B61893" w:rsidR="00582D9C" w:rsidRDefault="00582D9C" w:rsidP="00CA2738">
            <w:pPr>
              <w:jc w:val="center"/>
              <w:rPr>
                <w:b/>
                <w:bCs/>
                <w:lang w:val="en-ZA"/>
              </w:rPr>
            </w:pPr>
            <w:r>
              <w:rPr>
                <w:b/>
                <w:bCs/>
                <w:lang w:val="en-ZA"/>
              </w:rPr>
              <w:t>1</w:t>
            </w:r>
          </w:p>
        </w:tc>
        <w:tc>
          <w:tcPr>
            <w:tcW w:w="443" w:type="dxa"/>
          </w:tcPr>
          <w:p w14:paraId="539006E7" w14:textId="48D98AB4" w:rsidR="00582D9C" w:rsidRDefault="00582D9C" w:rsidP="00CA2738">
            <w:pPr>
              <w:jc w:val="center"/>
              <w:rPr>
                <w:b/>
                <w:bCs/>
                <w:lang w:val="en-ZA"/>
              </w:rPr>
            </w:pPr>
            <w:r>
              <w:rPr>
                <w:b/>
                <w:bCs/>
                <w:lang w:val="en-ZA"/>
              </w:rPr>
              <w:t>2</w:t>
            </w:r>
          </w:p>
        </w:tc>
        <w:tc>
          <w:tcPr>
            <w:tcW w:w="444" w:type="dxa"/>
          </w:tcPr>
          <w:p w14:paraId="57659EF0" w14:textId="5CAB0A48" w:rsidR="00582D9C" w:rsidRDefault="00582D9C" w:rsidP="00CA2738">
            <w:pPr>
              <w:jc w:val="center"/>
              <w:rPr>
                <w:b/>
                <w:bCs/>
                <w:lang w:val="en-ZA"/>
              </w:rPr>
            </w:pPr>
            <w:r>
              <w:rPr>
                <w:b/>
                <w:bCs/>
                <w:lang w:val="en-ZA"/>
              </w:rPr>
              <w:t>3</w:t>
            </w:r>
          </w:p>
        </w:tc>
        <w:tc>
          <w:tcPr>
            <w:tcW w:w="443" w:type="dxa"/>
          </w:tcPr>
          <w:p w14:paraId="708F40EA" w14:textId="28B665C4" w:rsidR="00582D9C" w:rsidRDefault="00582D9C" w:rsidP="00CA2738">
            <w:pPr>
              <w:jc w:val="center"/>
              <w:rPr>
                <w:b/>
                <w:bCs/>
                <w:lang w:val="en-ZA"/>
              </w:rPr>
            </w:pPr>
            <w:r>
              <w:rPr>
                <w:b/>
                <w:bCs/>
                <w:lang w:val="en-ZA"/>
              </w:rPr>
              <w:t>4</w:t>
            </w:r>
          </w:p>
        </w:tc>
        <w:tc>
          <w:tcPr>
            <w:tcW w:w="444" w:type="dxa"/>
          </w:tcPr>
          <w:p w14:paraId="42BA4825" w14:textId="786AE279" w:rsidR="00582D9C" w:rsidRDefault="00582D9C" w:rsidP="00CA2738">
            <w:pPr>
              <w:jc w:val="center"/>
              <w:rPr>
                <w:b/>
                <w:bCs/>
                <w:lang w:val="en-ZA"/>
              </w:rPr>
            </w:pPr>
            <w:r>
              <w:rPr>
                <w:b/>
                <w:bCs/>
                <w:lang w:val="en-ZA"/>
              </w:rPr>
              <w:t>5</w:t>
            </w:r>
          </w:p>
        </w:tc>
      </w:tr>
    </w:tbl>
    <w:p w14:paraId="3B74653B" w14:textId="3E151DD1" w:rsidR="00351390" w:rsidRPr="00C34B0C" w:rsidRDefault="00990F21" w:rsidP="00C34B0C">
      <w:pPr>
        <w:spacing w:after="200"/>
        <w:jc w:val="left"/>
        <w:rPr>
          <w:b/>
          <w:color w:val="5B5590"/>
          <w:kern w:val="28"/>
          <w:sz w:val="40"/>
          <w:lang w:val="en-ZA"/>
        </w:rPr>
      </w:pPr>
      <w:r w:rsidRPr="00C34B0C">
        <w:rPr>
          <w:sz w:val="18"/>
          <w:szCs w:val="18"/>
          <w:lang w:val="en-ZA"/>
        </w:rPr>
        <w:t xml:space="preserve">* Policy statements refer to </w:t>
      </w:r>
      <w:r w:rsidR="00C34B0C" w:rsidRPr="00C34B0C">
        <w:rPr>
          <w:sz w:val="18"/>
          <w:szCs w:val="18"/>
          <w:lang w:val="en-ZA"/>
        </w:rPr>
        <w:t xml:space="preserve">institutional positions on these topics and can either be included in a broader policy document, or </w:t>
      </w:r>
      <w:r w:rsidR="00F9098E">
        <w:rPr>
          <w:sz w:val="18"/>
          <w:szCs w:val="18"/>
          <w:lang w:val="en-ZA"/>
        </w:rPr>
        <w:t xml:space="preserve">as </w:t>
      </w:r>
      <w:r w:rsidR="00C34B0C" w:rsidRPr="00C34B0C">
        <w:rPr>
          <w:sz w:val="18"/>
          <w:szCs w:val="18"/>
          <w:lang w:val="en-ZA"/>
        </w:rPr>
        <w:t xml:space="preserve">a stand-alone policy document. </w:t>
      </w:r>
      <w:r w:rsidR="00351390" w:rsidRPr="00C34B0C">
        <w:rPr>
          <w:b/>
          <w:color w:val="5B5590"/>
          <w:kern w:val="28"/>
          <w:sz w:val="40"/>
          <w:lang w:val="en-ZA"/>
        </w:rPr>
        <w:br w:type="page"/>
      </w:r>
    </w:p>
    <w:p w14:paraId="59550A36" w14:textId="1D54DB63" w:rsidR="00444A76" w:rsidRDefault="00697F15" w:rsidP="00CA2738">
      <w:pPr>
        <w:pStyle w:val="Heading1"/>
      </w:pPr>
      <w:r>
        <w:lastRenderedPageBreak/>
        <w:t xml:space="preserve">Appendix B: Job </w:t>
      </w:r>
      <w:r w:rsidR="000B53B0">
        <w:t>description</w:t>
      </w:r>
      <w:r>
        <w:t xml:space="preserve"> template</w:t>
      </w:r>
    </w:p>
    <w:p w14:paraId="6F7E82FC" w14:textId="77777777" w:rsidR="00444A76" w:rsidRDefault="00444A76" w:rsidP="00CA2738">
      <w:pPr>
        <w:rPr>
          <w:b/>
          <w:bCs/>
          <w:lang w:val="en-Z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373"/>
        <w:gridCol w:w="2730"/>
        <w:gridCol w:w="2490"/>
      </w:tblGrid>
      <w:tr w:rsidR="00F73B3C" w:rsidRPr="00F73B3C" w14:paraId="5F21707A" w14:textId="77777777" w:rsidTr="00473564">
        <w:trPr>
          <w:trHeight w:val="652"/>
        </w:trPr>
        <w:tc>
          <w:tcPr>
            <w:tcW w:w="2235"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14:paraId="6D979F36" w14:textId="77777777" w:rsidR="00F73B3C" w:rsidRPr="00F73B3C" w:rsidRDefault="00F73B3C" w:rsidP="00CA2738">
            <w:pPr>
              <w:rPr>
                <w:b/>
                <w:bCs/>
                <w:lang w:val="en-ZA"/>
              </w:rPr>
            </w:pPr>
            <w:r w:rsidRPr="00F73B3C">
              <w:rPr>
                <w:b/>
                <w:bCs/>
                <w:lang w:val="en-ZA"/>
              </w:rPr>
              <w:t>JOB TITLE</w:t>
            </w:r>
          </w:p>
        </w:tc>
        <w:tc>
          <w:tcPr>
            <w:tcW w:w="2373" w:type="dxa"/>
            <w:tcBorders>
              <w:top w:val="single" w:sz="12" w:space="0" w:color="auto"/>
              <w:left w:val="single" w:sz="12" w:space="0" w:color="auto"/>
              <w:bottom w:val="single" w:sz="12" w:space="0" w:color="auto"/>
              <w:right w:val="single" w:sz="12" w:space="0" w:color="auto"/>
            </w:tcBorders>
            <w:vAlign w:val="center"/>
          </w:tcPr>
          <w:p w14:paraId="6CC3CAEF" w14:textId="77777777" w:rsidR="00F73B3C" w:rsidRPr="00F73B3C" w:rsidRDefault="00F73B3C" w:rsidP="00CA2738">
            <w:pPr>
              <w:rPr>
                <w:b/>
                <w:bCs/>
                <w:lang w:val="en-ZA"/>
              </w:rPr>
            </w:pPr>
          </w:p>
        </w:tc>
        <w:tc>
          <w:tcPr>
            <w:tcW w:w="2730"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14:paraId="2E4D1774" w14:textId="1F019D76" w:rsidR="00F73B3C" w:rsidRPr="00F73B3C" w:rsidRDefault="00C00098" w:rsidP="00CA2738">
            <w:pPr>
              <w:rPr>
                <w:b/>
                <w:bCs/>
                <w:lang w:val="en-ZA"/>
              </w:rPr>
            </w:pPr>
            <w:r>
              <w:rPr>
                <w:b/>
                <w:bCs/>
                <w:lang w:val="en-ZA"/>
              </w:rPr>
              <w:t>FACULTY</w:t>
            </w:r>
          </w:p>
        </w:tc>
        <w:tc>
          <w:tcPr>
            <w:tcW w:w="2490" w:type="dxa"/>
            <w:tcBorders>
              <w:top w:val="single" w:sz="12" w:space="0" w:color="auto"/>
              <w:left w:val="single" w:sz="12" w:space="0" w:color="auto"/>
              <w:bottom w:val="single" w:sz="12" w:space="0" w:color="auto"/>
              <w:right w:val="single" w:sz="12" w:space="0" w:color="auto"/>
            </w:tcBorders>
            <w:vAlign w:val="center"/>
          </w:tcPr>
          <w:p w14:paraId="5E8994E1" w14:textId="77777777" w:rsidR="00F73B3C" w:rsidRPr="00F73B3C" w:rsidRDefault="00F73B3C" w:rsidP="00CA2738">
            <w:pPr>
              <w:rPr>
                <w:b/>
                <w:bCs/>
                <w:lang w:val="en-ZA"/>
              </w:rPr>
            </w:pPr>
          </w:p>
        </w:tc>
      </w:tr>
      <w:tr w:rsidR="00F73B3C" w:rsidRPr="00F73B3C" w14:paraId="3010B26F" w14:textId="77777777" w:rsidTr="00473564">
        <w:trPr>
          <w:trHeight w:val="674"/>
        </w:trPr>
        <w:tc>
          <w:tcPr>
            <w:tcW w:w="2235"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14:paraId="20E4D203" w14:textId="6273A3E2" w:rsidR="00F73B3C" w:rsidRPr="00F73B3C" w:rsidRDefault="00C00098" w:rsidP="00CA2738">
            <w:pPr>
              <w:jc w:val="left"/>
              <w:rPr>
                <w:b/>
                <w:bCs/>
                <w:lang w:val="en-ZA"/>
              </w:rPr>
            </w:pPr>
            <w:r w:rsidRPr="00F73B3C">
              <w:rPr>
                <w:b/>
                <w:bCs/>
                <w:lang w:val="en-ZA"/>
              </w:rPr>
              <w:t>DEPARTMENT</w:t>
            </w:r>
            <w:r>
              <w:rPr>
                <w:b/>
                <w:bCs/>
                <w:lang w:val="en-ZA"/>
              </w:rPr>
              <w:t>/UNIT</w:t>
            </w:r>
          </w:p>
        </w:tc>
        <w:tc>
          <w:tcPr>
            <w:tcW w:w="2373" w:type="dxa"/>
            <w:tcBorders>
              <w:top w:val="single" w:sz="12" w:space="0" w:color="auto"/>
              <w:left w:val="single" w:sz="12" w:space="0" w:color="auto"/>
              <w:bottom w:val="single" w:sz="12" w:space="0" w:color="auto"/>
              <w:right w:val="single" w:sz="12" w:space="0" w:color="auto"/>
            </w:tcBorders>
            <w:vAlign w:val="center"/>
          </w:tcPr>
          <w:p w14:paraId="055980D4" w14:textId="77777777" w:rsidR="00F73B3C" w:rsidRPr="00F73B3C" w:rsidRDefault="00F73B3C" w:rsidP="00CA2738">
            <w:pPr>
              <w:rPr>
                <w:b/>
                <w:bCs/>
                <w:lang w:val="en-ZA"/>
              </w:rPr>
            </w:pPr>
          </w:p>
        </w:tc>
        <w:tc>
          <w:tcPr>
            <w:tcW w:w="2730"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14:paraId="55B00048" w14:textId="661F38A9" w:rsidR="00F73B3C" w:rsidRPr="00F73B3C" w:rsidRDefault="00C96762" w:rsidP="00CA2738">
            <w:pPr>
              <w:rPr>
                <w:b/>
                <w:bCs/>
                <w:lang w:val="en-ZA"/>
              </w:rPr>
            </w:pPr>
            <w:r>
              <w:rPr>
                <w:b/>
                <w:bCs/>
                <w:lang w:val="en-ZA"/>
              </w:rPr>
              <w:t>JOB FAMILY</w:t>
            </w:r>
            <w:r w:rsidR="001B3E72">
              <w:rPr>
                <w:b/>
                <w:bCs/>
                <w:lang w:val="en-ZA"/>
              </w:rPr>
              <w:t>/CATEGORY</w:t>
            </w:r>
          </w:p>
        </w:tc>
        <w:tc>
          <w:tcPr>
            <w:tcW w:w="2490" w:type="dxa"/>
            <w:tcBorders>
              <w:top w:val="single" w:sz="12" w:space="0" w:color="auto"/>
              <w:left w:val="single" w:sz="12" w:space="0" w:color="auto"/>
              <w:bottom w:val="single" w:sz="12" w:space="0" w:color="auto"/>
              <w:right w:val="single" w:sz="12" w:space="0" w:color="auto"/>
            </w:tcBorders>
            <w:vAlign w:val="center"/>
          </w:tcPr>
          <w:p w14:paraId="5C07BDFE" w14:textId="77777777" w:rsidR="00F73B3C" w:rsidRPr="00F73B3C" w:rsidRDefault="00F73B3C" w:rsidP="00CA2738">
            <w:pPr>
              <w:rPr>
                <w:b/>
                <w:bCs/>
                <w:lang w:val="en-ZA"/>
              </w:rPr>
            </w:pPr>
          </w:p>
        </w:tc>
      </w:tr>
      <w:tr w:rsidR="00204C9D" w:rsidRPr="00F73B3C" w14:paraId="7FFF223D" w14:textId="77777777" w:rsidTr="00473564">
        <w:trPr>
          <w:trHeight w:val="670"/>
        </w:trPr>
        <w:tc>
          <w:tcPr>
            <w:tcW w:w="2235"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14:paraId="2BB4EF72" w14:textId="7AEF9969" w:rsidR="00204C9D" w:rsidRPr="00F73B3C" w:rsidRDefault="00204C9D" w:rsidP="00CA2738">
            <w:pPr>
              <w:jc w:val="left"/>
              <w:rPr>
                <w:b/>
                <w:bCs/>
                <w:lang w:val="en-ZA"/>
              </w:rPr>
            </w:pPr>
            <w:r>
              <w:rPr>
                <w:b/>
                <w:bCs/>
                <w:lang w:val="en-ZA"/>
              </w:rPr>
              <w:t>SALARY BAND</w:t>
            </w:r>
          </w:p>
        </w:tc>
        <w:tc>
          <w:tcPr>
            <w:tcW w:w="2373" w:type="dxa"/>
            <w:tcBorders>
              <w:top w:val="single" w:sz="12" w:space="0" w:color="auto"/>
              <w:left w:val="single" w:sz="12" w:space="0" w:color="auto"/>
              <w:bottom w:val="single" w:sz="12" w:space="0" w:color="auto"/>
              <w:right w:val="single" w:sz="12" w:space="0" w:color="auto"/>
            </w:tcBorders>
            <w:vAlign w:val="center"/>
          </w:tcPr>
          <w:p w14:paraId="5752ABD9" w14:textId="77777777" w:rsidR="00204C9D" w:rsidRPr="00F73B3C" w:rsidRDefault="00204C9D" w:rsidP="00CA2738">
            <w:pPr>
              <w:rPr>
                <w:b/>
                <w:bCs/>
                <w:lang w:val="en-ZA"/>
              </w:rPr>
            </w:pPr>
          </w:p>
        </w:tc>
        <w:tc>
          <w:tcPr>
            <w:tcW w:w="2730"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14:paraId="19978FF5" w14:textId="26506BF0" w:rsidR="00204C9D" w:rsidRDefault="00204C9D" w:rsidP="00CA2738">
            <w:pPr>
              <w:rPr>
                <w:b/>
                <w:bCs/>
                <w:lang w:val="en-ZA"/>
              </w:rPr>
            </w:pPr>
            <w:r>
              <w:rPr>
                <w:b/>
                <w:bCs/>
                <w:lang w:val="en-ZA"/>
              </w:rPr>
              <w:t>APPOINTMENT TYPE</w:t>
            </w:r>
          </w:p>
        </w:tc>
        <w:tc>
          <w:tcPr>
            <w:tcW w:w="2490" w:type="dxa"/>
            <w:tcBorders>
              <w:top w:val="single" w:sz="12" w:space="0" w:color="auto"/>
              <w:left w:val="single" w:sz="12" w:space="0" w:color="auto"/>
              <w:bottom w:val="single" w:sz="12" w:space="0" w:color="auto"/>
              <w:right w:val="single" w:sz="12" w:space="0" w:color="auto"/>
            </w:tcBorders>
            <w:vAlign w:val="center"/>
          </w:tcPr>
          <w:p w14:paraId="667A6199" w14:textId="77777777" w:rsidR="00204C9D" w:rsidRPr="00F73B3C" w:rsidRDefault="00204C9D" w:rsidP="00CA2738">
            <w:pPr>
              <w:rPr>
                <w:b/>
                <w:bCs/>
                <w:lang w:val="en-ZA"/>
              </w:rPr>
            </w:pPr>
          </w:p>
        </w:tc>
      </w:tr>
    </w:tbl>
    <w:p w14:paraId="0B9A1B27" w14:textId="77777777" w:rsidR="00F73B3C" w:rsidRPr="00F73B3C" w:rsidRDefault="00F73B3C" w:rsidP="00CA2738">
      <w:pPr>
        <w:rPr>
          <w:b/>
          <w:bCs/>
          <w:lang w:val="en-ZA"/>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F73B3C" w:rsidRPr="00F73B3C" w14:paraId="38F0B7EC" w14:textId="77777777" w:rsidTr="003F0459">
        <w:tc>
          <w:tcPr>
            <w:tcW w:w="9855" w:type="dxa"/>
            <w:tcBorders>
              <w:left w:val="single" w:sz="18" w:space="0" w:color="auto"/>
              <w:bottom w:val="single" w:sz="18" w:space="0" w:color="auto"/>
              <w:right w:val="single" w:sz="18" w:space="0" w:color="auto"/>
            </w:tcBorders>
            <w:shd w:val="clear" w:color="auto" w:fill="DDD9C3" w:themeFill="background2" w:themeFillShade="E6"/>
          </w:tcPr>
          <w:p w14:paraId="32105DF1" w14:textId="611894F8" w:rsidR="00F73B3C" w:rsidRPr="00F73B3C" w:rsidRDefault="00F73B3C" w:rsidP="00CA2738">
            <w:pPr>
              <w:rPr>
                <w:b/>
                <w:bCs/>
                <w:i/>
                <w:lang w:val="en-ZA"/>
              </w:rPr>
            </w:pPr>
            <w:r w:rsidRPr="00F73B3C">
              <w:rPr>
                <w:b/>
                <w:bCs/>
                <w:i/>
                <w:lang w:val="en-ZA"/>
              </w:rPr>
              <w:t>MAIN PURPOSE OF THE</w:t>
            </w:r>
            <w:r w:rsidR="001B3E72">
              <w:rPr>
                <w:b/>
                <w:bCs/>
                <w:i/>
                <w:lang w:val="en-ZA"/>
              </w:rPr>
              <w:t xml:space="preserve"> POSITION</w:t>
            </w:r>
          </w:p>
        </w:tc>
      </w:tr>
      <w:tr w:rsidR="00F73B3C" w:rsidRPr="00F73B3C" w14:paraId="2BCA8BA5" w14:textId="77777777" w:rsidTr="003F0459">
        <w:trPr>
          <w:trHeight w:val="256"/>
        </w:trPr>
        <w:tc>
          <w:tcPr>
            <w:tcW w:w="9855" w:type="dxa"/>
            <w:tcBorders>
              <w:top w:val="single" w:sz="18" w:space="0" w:color="auto"/>
            </w:tcBorders>
          </w:tcPr>
          <w:p w14:paraId="05CCBC9E" w14:textId="77777777" w:rsidR="00F73B3C" w:rsidRPr="00F73B3C" w:rsidRDefault="00F73B3C" w:rsidP="00CA2738">
            <w:pPr>
              <w:rPr>
                <w:b/>
                <w:bCs/>
                <w:lang w:val="en-ZA"/>
              </w:rPr>
            </w:pPr>
          </w:p>
          <w:p w14:paraId="1A6CB1BF" w14:textId="77777777" w:rsidR="00F73B3C" w:rsidRDefault="00F73B3C" w:rsidP="00CA2738">
            <w:pPr>
              <w:rPr>
                <w:b/>
                <w:bCs/>
                <w:lang w:val="en-ZA"/>
              </w:rPr>
            </w:pPr>
          </w:p>
          <w:p w14:paraId="1DBA274E" w14:textId="77777777" w:rsidR="001B3E72" w:rsidRDefault="001B3E72" w:rsidP="00CA2738">
            <w:pPr>
              <w:rPr>
                <w:b/>
                <w:bCs/>
                <w:lang w:val="en-ZA"/>
              </w:rPr>
            </w:pPr>
          </w:p>
          <w:p w14:paraId="56EBB6A4" w14:textId="77777777" w:rsidR="00F73B3C" w:rsidRPr="00F73B3C" w:rsidRDefault="00F73B3C" w:rsidP="00CA2738">
            <w:pPr>
              <w:rPr>
                <w:b/>
                <w:bCs/>
                <w:lang w:val="en-ZA"/>
              </w:rPr>
            </w:pPr>
          </w:p>
        </w:tc>
      </w:tr>
      <w:tr w:rsidR="00F73B3C" w:rsidRPr="00F73B3C" w14:paraId="2772408F" w14:textId="77777777" w:rsidTr="003F0459">
        <w:tc>
          <w:tcPr>
            <w:tcW w:w="9855" w:type="dxa"/>
            <w:tcBorders>
              <w:top w:val="single" w:sz="18" w:space="0" w:color="auto"/>
              <w:left w:val="single" w:sz="18" w:space="0" w:color="auto"/>
              <w:bottom w:val="single" w:sz="18" w:space="0" w:color="auto"/>
              <w:right w:val="single" w:sz="18" w:space="0" w:color="auto"/>
            </w:tcBorders>
            <w:shd w:val="clear" w:color="auto" w:fill="DDD9C3" w:themeFill="background2" w:themeFillShade="E6"/>
          </w:tcPr>
          <w:p w14:paraId="145BF928" w14:textId="68118D71" w:rsidR="00F73B3C" w:rsidRPr="00F73B3C" w:rsidRDefault="00F73B3C" w:rsidP="00CA2738">
            <w:pPr>
              <w:rPr>
                <w:b/>
                <w:bCs/>
                <w:i/>
                <w:lang w:val="en-ZA"/>
              </w:rPr>
            </w:pPr>
            <w:r w:rsidRPr="00F73B3C">
              <w:rPr>
                <w:b/>
                <w:bCs/>
                <w:i/>
                <w:lang w:val="en-ZA"/>
              </w:rPr>
              <w:t xml:space="preserve">KEY </w:t>
            </w:r>
            <w:r w:rsidR="003436D7">
              <w:rPr>
                <w:b/>
                <w:bCs/>
                <w:i/>
                <w:lang w:val="en-ZA"/>
              </w:rPr>
              <w:t>PERFORMANCE</w:t>
            </w:r>
            <w:r w:rsidRPr="00F73B3C">
              <w:rPr>
                <w:b/>
                <w:bCs/>
                <w:i/>
                <w:lang w:val="en-ZA"/>
              </w:rPr>
              <w:t xml:space="preserve"> AREAS (K</w:t>
            </w:r>
            <w:r w:rsidR="003436D7">
              <w:rPr>
                <w:b/>
                <w:bCs/>
                <w:i/>
                <w:lang w:val="en-ZA"/>
              </w:rPr>
              <w:t>P</w:t>
            </w:r>
            <w:r w:rsidRPr="00F73B3C">
              <w:rPr>
                <w:b/>
                <w:bCs/>
                <w:i/>
                <w:lang w:val="en-ZA"/>
              </w:rPr>
              <w:t>A</w:t>
            </w:r>
            <w:r w:rsidR="00F9098E">
              <w:rPr>
                <w:b/>
                <w:bCs/>
                <w:i/>
                <w:lang w:val="en-ZA"/>
              </w:rPr>
              <w:t>s</w:t>
            </w:r>
            <w:r w:rsidRPr="00F73B3C">
              <w:rPr>
                <w:b/>
                <w:bCs/>
                <w:i/>
                <w:lang w:val="en-ZA"/>
              </w:rPr>
              <w:t>)</w:t>
            </w:r>
          </w:p>
        </w:tc>
      </w:tr>
      <w:tr w:rsidR="00F73B3C" w:rsidRPr="00F73B3C" w14:paraId="1D8AB42A" w14:textId="77777777" w:rsidTr="003F0459">
        <w:trPr>
          <w:trHeight w:val="494"/>
        </w:trPr>
        <w:tc>
          <w:tcPr>
            <w:tcW w:w="9855" w:type="dxa"/>
            <w:tcBorders>
              <w:top w:val="single" w:sz="18" w:space="0" w:color="auto"/>
            </w:tcBorders>
          </w:tcPr>
          <w:p w14:paraId="27FB43C3" w14:textId="77777777" w:rsidR="00F73B3C" w:rsidRDefault="00F73B3C" w:rsidP="00CA2738">
            <w:pPr>
              <w:rPr>
                <w:b/>
                <w:bCs/>
                <w:lang w:val="en-ZA"/>
              </w:rPr>
            </w:pPr>
          </w:p>
          <w:p w14:paraId="14E942CA" w14:textId="77777777" w:rsidR="001B3E72" w:rsidRDefault="001B3E72" w:rsidP="00CA2738">
            <w:pPr>
              <w:rPr>
                <w:b/>
                <w:bCs/>
                <w:lang w:val="en-ZA"/>
              </w:rPr>
            </w:pPr>
          </w:p>
          <w:p w14:paraId="3AF42286" w14:textId="77777777" w:rsidR="001B3E72" w:rsidRDefault="001B3E72" w:rsidP="00CA2738">
            <w:pPr>
              <w:rPr>
                <w:b/>
                <w:bCs/>
                <w:lang w:val="en-ZA"/>
              </w:rPr>
            </w:pPr>
          </w:p>
          <w:p w14:paraId="65237D4C" w14:textId="77777777" w:rsidR="001B3E72" w:rsidRPr="00F73B3C" w:rsidRDefault="001B3E72" w:rsidP="00CA2738">
            <w:pPr>
              <w:rPr>
                <w:b/>
                <w:bCs/>
                <w:lang w:val="en-ZA"/>
              </w:rPr>
            </w:pPr>
          </w:p>
        </w:tc>
      </w:tr>
      <w:tr w:rsidR="00F73B3C" w:rsidRPr="00F73B3C" w14:paraId="27B6D629" w14:textId="77777777" w:rsidTr="003F0459">
        <w:tc>
          <w:tcPr>
            <w:tcW w:w="9855" w:type="dxa"/>
            <w:tcBorders>
              <w:left w:val="single" w:sz="18" w:space="0" w:color="auto"/>
              <w:bottom w:val="single" w:sz="18" w:space="0" w:color="auto"/>
              <w:right w:val="single" w:sz="18" w:space="0" w:color="auto"/>
            </w:tcBorders>
            <w:shd w:val="clear" w:color="auto" w:fill="DDD9C3" w:themeFill="background2" w:themeFillShade="E6"/>
          </w:tcPr>
          <w:p w14:paraId="6D2E63C8" w14:textId="7C40C337" w:rsidR="00F73B3C" w:rsidRPr="00F73B3C" w:rsidRDefault="00F73B3C" w:rsidP="00CA2738">
            <w:pPr>
              <w:rPr>
                <w:b/>
                <w:bCs/>
                <w:i/>
                <w:lang w:val="en-ZA"/>
              </w:rPr>
            </w:pPr>
            <w:r w:rsidRPr="00F73B3C">
              <w:rPr>
                <w:b/>
                <w:bCs/>
                <w:lang w:val="en-ZA"/>
              </w:rPr>
              <w:br w:type="page"/>
            </w:r>
            <w:r w:rsidRPr="00F73B3C">
              <w:rPr>
                <w:b/>
                <w:bCs/>
                <w:i/>
                <w:lang w:val="en-ZA"/>
              </w:rPr>
              <w:t xml:space="preserve">DUTIES AND RESPONSIBILITIES </w:t>
            </w:r>
            <w:r w:rsidR="00F97B29">
              <w:rPr>
                <w:b/>
                <w:bCs/>
                <w:i/>
                <w:lang w:val="en-ZA"/>
              </w:rPr>
              <w:t xml:space="preserve">IN RELATION TO </w:t>
            </w:r>
            <w:r w:rsidRPr="00F73B3C">
              <w:rPr>
                <w:b/>
                <w:bCs/>
                <w:i/>
                <w:lang w:val="en-ZA"/>
              </w:rPr>
              <w:t>K</w:t>
            </w:r>
            <w:r w:rsidR="003436D7">
              <w:rPr>
                <w:b/>
                <w:bCs/>
                <w:i/>
                <w:lang w:val="en-ZA"/>
              </w:rPr>
              <w:t>P</w:t>
            </w:r>
            <w:r w:rsidRPr="00F73B3C">
              <w:rPr>
                <w:b/>
                <w:bCs/>
                <w:i/>
                <w:lang w:val="en-ZA"/>
              </w:rPr>
              <w:t>A</w:t>
            </w:r>
            <w:r w:rsidR="00777A64">
              <w:rPr>
                <w:b/>
                <w:bCs/>
                <w:i/>
                <w:lang w:val="en-ZA"/>
              </w:rPr>
              <w:t>s</w:t>
            </w:r>
            <w:r w:rsidR="00F97B29">
              <w:rPr>
                <w:b/>
                <w:bCs/>
                <w:i/>
                <w:lang w:val="en-ZA"/>
              </w:rPr>
              <w:t xml:space="preserve"> (MEASURABLE INDICATORS TO BE USED IN PERFORMANCE DISCUSSIONS)</w:t>
            </w:r>
          </w:p>
        </w:tc>
      </w:tr>
      <w:tr w:rsidR="00F73B3C" w:rsidRPr="00F73B3C" w14:paraId="4F2F15BE" w14:textId="77777777" w:rsidTr="00473564">
        <w:trPr>
          <w:trHeight w:val="1242"/>
        </w:trPr>
        <w:tc>
          <w:tcPr>
            <w:tcW w:w="9855" w:type="dxa"/>
            <w:tcBorders>
              <w:top w:val="single" w:sz="18" w:space="0" w:color="auto"/>
              <w:bottom w:val="single" w:sz="12" w:space="0" w:color="auto"/>
            </w:tcBorders>
          </w:tcPr>
          <w:p w14:paraId="1F38555A" w14:textId="77777777" w:rsidR="00F73B3C" w:rsidRPr="00F73B3C" w:rsidRDefault="00F73B3C" w:rsidP="00CA2738">
            <w:pPr>
              <w:rPr>
                <w:b/>
                <w:bCs/>
                <w:lang w:val="en-ZA"/>
              </w:rPr>
            </w:pPr>
          </w:p>
        </w:tc>
      </w:tr>
      <w:tr w:rsidR="00F73B3C" w:rsidRPr="00F73B3C" w14:paraId="3411BFC1" w14:textId="77777777" w:rsidTr="003F0459">
        <w:trPr>
          <w:trHeight w:val="352"/>
        </w:trPr>
        <w:tc>
          <w:tcPr>
            <w:tcW w:w="9855" w:type="dxa"/>
            <w:tcBorders>
              <w:left w:val="single" w:sz="18" w:space="0" w:color="auto"/>
              <w:bottom w:val="single" w:sz="12" w:space="0" w:color="auto"/>
              <w:right w:val="single" w:sz="18" w:space="0" w:color="auto"/>
            </w:tcBorders>
            <w:shd w:val="clear" w:color="auto" w:fill="DDD9C3" w:themeFill="background2" w:themeFillShade="E6"/>
          </w:tcPr>
          <w:p w14:paraId="5C61EEC4" w14:textId="77777777" w:rsidR="00F73B3C" w:rsidRPr="00F73B3C" w:rsidRDefault="00F73B3C" w:rsidP="00CA2738">
            <w:pPr>
              <w:rPr>
                <w:b/>
                <w:bCs/>
                <w:i/>
                <w:lang w:val="en-ZA"/>
              </w:rPr>
            </w:pPr>
            <w:r w:rsidRPr="00F73B3C">
              <w:rPr>
                <w:b/>
                <w:bCs/>
                <w:i/>
                <w:lang w:val="en-ZA"/>
              </w:rPr>
              <w:t>QUALIFICATIONS / EXPERIENCE REQUIRED FOR THE POSITION</w:t>
            </w:r>
          </w:p>
        </w:tc>
      </w:tr>
      <w:tr w:rsidR="00F73B3C" w:rsidRPr="00F73B3C" w14:paraId="0B9072D8" w14:textId="77777777" w:rsidTr="003F0459">
        <w:tc>
          <w:tcPr>
            <w:tcW w:w="9855" w:type="dxa"/>
            <w:tcBorders>
              <w:top w:val="single" w:sz="18" w:space="0" w:color="auto"/>
              <w:bottom w:val="single" w:sz="12" w:space="0" w:color="auto"/>
            </w:tcBorders>
          </w:tcPr>
          <w:p w14:paraId="27F60DD4" w14:textId="77777777" w:rsidR="00F73B3C" w:rsidRPr="00F73B3C" w:rsidRDefault="00F73B3C" w:rsidP="00D80C1E">
            <w:pPr>
              <w:numPr>
                <w:ilvl w:val="0"/>
                <w:numId w:val="8"/>
              </w:numPr>
              <w:rPr>
                <w:b/>
                <w:bCs/>
                <w:lang w:val="en-ZA"/>
              </w:rPr>
            </w:pPr>
            <w:r w:rsidRPr="00F73B3C">
              <w:rPr>
                <w:b/>
                <w:bCs/>
                <w:i/>
                <w:lang w:val="en-ZA"/>
              </w:rPr>
              <w:t>EDUCATIONAL QUALIFICATION</w:t>
            </w:r>
          </w:p>
          <w:p w14:paraId="257D5921" w14:textId="27709DD2" w:rsidR="00F73B3C" w:rsidRPr="00F73B3C" w:rsidRDefault="00F73B3C" w:rsidP="00CA2738">
            <w:pPr>
              <w:rPr>
                <w:b/>
                <w:bCs/>
                <w:lang w:val="en-ZA"/>
              </w:rPr>
            </w:pPr>
            <w:r w:rsidRPr="00F73B3C">
              <w:rPr>
                <w:b/>
                <w:bCs/>
                <w:lang w:val="en-ZA"/>
              </w:rPr>
              <w:t>Minimum:</w:t>
            </w:r>
            <w:r w:rsidR="002326D6">
              <w:rPr>
                <w:b/>
                <w:bCs/>
                <w:lang w:val="en-ZA"/>
              </w:rPr>
              <w:t xml:space="preserve"> </w:t>
            </w:r>
          </w:p>
          <w:p w14:paraId="54D11C08" w14:textId="77777777" w:rsidR="00F73B3C" w:rsidRPr="00F73B3C" w:rsidRDefault="00F73B3C" w:rsidP="00CA2738">
            <w:pPr>
              <w:rPr>
                <w:b/>
                <w:bCs/>
                <w:lang w:val="en-ZA"/>
              </w:rPr>
            </w:pPr>
          </w:p>
          <w:p w14:paraId="752D3EF6" w14:textId="4722B26B" w:rsidR="00F73B3C" w:rsidRPr="00F73B3C" w:rsidRDefault="00F73B3C" w:rsidP="00CA2738">
            <w:pPr>
              <w:rPr>
                <w:b/>
                <w:bCs/>
                <w:lang w:val="en-ZA"/>
              </w:rPr>
            </w:pPr>
            <w:r w:rsidRPr="00F73B3C">
              <w:rPr>
                <w:b/>
                <w:bCs/>
                <w:lang w:val="en-ZA"/>
              </w:rPr>
              <w:t>Recommend</w:t>
            </w:r>
            <w:r w:rsidR="00F97B29">
              <w:rPr>
                <w:b/>
                <w:bCs/>
                <w:lang w:val="en-ZA"/>
              </w:rPr>
              <w:t>ed</w:t>
            </w:r>
            <w:r w:rsidRPr="00F73B3C">
              <w:rPr>
                <w:b/>
                <w:bCs/>
                <w:lang w:val="en-ZA"/>
              </w:rPr>
              <w:t>:</w:t>
            </w:r>
            <w:r w:rsidR="002326D6">
              <w:rPr>
                <w:b/>
                <w:bCs/>
                <w:lang w:val="en-ZA"/>
              </w:rPr>
              <w:t xml:space="preserve"> </w:t>
            </w:r>
          </w:p>
          <w:p w14:paraId="63D55E53" w14:textId="77777777" w:rsidR="00F73B3C" w:rsidRPr="00F73B3C" w:rsidRDefault="00F73B3C" w:rsidP="00CA2738">
            <w:pPr>
              <w:rPr>
                <w:b/>
                <w:bCs/>
                <w:lang w:val="en-ZA"/>
              </w:rPr>
            </w:pPr>
          </w:p>
        </w:tc>
      </w:tr>
      <w:tr w:rsidR="00F73B3C" w:rsidRPr="00F73B3C" w14:paraId="4B463064" w14:textId="77777777" w:rsidTr="003F0459">
        <w:tc>
          <w:tcPr>
            <w:tcW w:w="9855" w:type="dxa"/>
            <w:tcBorders>
              <w:top w:val="single" w:sz="12" w:space="0" w:color="auto"/>
              <w:bottom w:val="single" w:sz="12" w:space="0" w:color="auto"/>
            </w:tcBorders>
          </w:tcPr>
          <w:p w14:paraId="3F927008" w14:textId="77777777" w:rsidR="00F73B3C" w:rsidRPr="00F73B3C" w:rsidRDefault="00F73B3C" w:rsidP="00D80C1E">
            <w:pPr>
              <w:numPr>
                <w:ilvl w:val="0"/>
                <w:numId w:val="8"/>
              </w:numPr>
              <w:rPr>
                <w:b/>
                <w:bCs/>
                <w:lang w:val="en-ZA"/>
              </w:rPr>
            </w:pPr>
            <w:r w:rsidRPr="00F73B3C">
              <w:rPr>
                <w:b/>
                <w:bCs/>
                <w:i/>
                <w:lang w:val="en-ZA"/>
              </w:rPr>
              <w:t>EXPERIENCE IN YEARS</w:t>
            </w:r>
          </w:p>
          <w:p w14:paraId="1B2BC345" w14:textId="5D649173" w:rsidR="00F73B3C" w:rsidRPr="00F73B3C" w:rsidRDefault="00F73B3C" w:rsidP="00CA2738">
            <w:pPr>
              <w:rPr>
                <w:b/>
                <w:bCs/>
                <w:lang w:val="en-ZA"/>
              </w:rPr>
            </w:pPr>
            <w:r w:rsidRPr="00F73B3C">
              <w:rPr>
                <w:b/>
                <w:bCs/>
                <w:lang w:val="en-ZA"/>
              </w:rPr>
              <w:t>Minimum:</w:t>
            </w:r>
            <w:r w:rsidR="002326D6">
              <w:rPr>
                <w:b/>
                <w:bCs/>
                <w:lang w:val="en-ZA"/>
              </w:rPr>
              <w:t xml:space="preserve"> </w:t>
            </w:r>
          </w:p>
          <w:p w14:paraId="78EEE73C" w14:textId="77777777" w:rsidR="00F73B3C" w:rsidRPr="00F73B3C" w:rsidRDefault="00F73B3C" w:rsidP="00CA2738">
            <w:pPr>
              <w:rPr>
                <w:b/>
                <w:bCs/>
                <w:lang w:val="en-ZA"/>
              </w:rPr>
            </w:pPr>
          </w:p>
          <w:p w14:paraId="6083B1D9" w14:textId="6C7557F4" w:rsidR="00F73B3C" w:rsidRPr="00F73B3C" w:rsidRDefault="00F73B3C" w:rsidP="00CA2738">
            <w:pPr>
              <w:rPr>
                <w:b/>
                <w:bCs/>
                <w:lang w:val="en-ZA"/>
              </w:rPr>
            </w:pPr>
            <w:r w:rsidRPr="00F73B3C">
              <w:rPr>
                <w:b/>
                <w:bCs/>
                <w:lang w:val="en-ZA"/>
              </w:rPr>
              <w:t>Recommend</w:t>
            </w:r>
            <w:r w:rsidR="00F97B29">
              <w:rPr>
                <w:b/>
                <w:bCs/>
                <w:lang w:val="en-ZA"/>
              </w:rPr>
              <w:t>ed</w:t>
            </w:r>
            <w:r w:rsidRPr="00F73B3C">
              <w:rPr>
                <w:b/>
                <w:bCs/>
                <w:lang w:val="en-ZA"/>
              </w:rPr>
              <w:t>:</w:t>
            </w:r>
          </w:p>
          <w:p w14:paraId="374ACA78" w14:textId="77777777" w:rsidR="00F73B3C" w:rsidRPr="00F73B3C" w:rsidRDefault="00F73B3C" w:rsidP="00CA2738">
            <w:pPr>
              <w:rPr>
                <w:b/>
                <w:bCs/>
                <w:lang w:val="en-ZA"/>
              </w:rPr>
            </w:pPr>
          </w:p>
        </w:tc>
      </w:tr>
      <w:tr w:rsidR="00F73B3C" w:rsidRPr="00F73B3C" w14:paraId="4FD9244E" w14:textId="77777777" w:rsidTr="003F0459">
        <w:trPr>
          <w:trHeight w:val="381"/>
        </w:trPr>
        <w:tc>
          <w:tcPr>
            <w:tcW w:w="9855" w:type="dxa"/>
            <w:tcBorders>
              <w:top w:val="single" w:sz="12" w:space="0" w:color="auto"/>
              <w:bottom w:val="single" w:sz="12" w:space="0" w:color="auto"/>
            </w:tcBorders>
            <w:shd w:val="clear" w:color="auto" w:fill="0F204B"/>
          </w:tcPr>
          <w:p w14:paraId="5EBB3B27" w14:textId="3B6FA2D2" w:rsidR="00F73B3C" w:rsidRPr="00F73B3C" w:rsidRDefault="00F73B3C" w:rsidP="00CA2738">
            <w:pPr>
              <w:rPr>
                <w:b/>
                <w:bCs/>
                <w:i/>
                <w:lang w:val="en-ZA"/>
              </w:rPr>
            </w:pPr>
            <w:r w:rsidRPr="00F73B3C">
              <w:rPr>
                <w:b/>
                <w:bCs/>
                <w:lang w:val="en-ZA"/>
              </w:rPr>
              <w:t xml:space="preserve">THIS SECTION APPLIES TO THE COMPETENCY </w:t>
            </w:r>
            <w:r w:rsidR="00473564">
              <w:rPr>
                <w:b/>
                <w:bCs/>
                <w:lang w:val="en-ZA"/>
              </w:rPr>
              <w:t>FRAMEWORK</w:t>
            </w:r>
          </w:p>
        </w:tc>
      </w:tr>
      <w:tr w:rsidR="00F73B3C" w:rsidRPr="00F73B3C" w14:paraId="4873E83D" w14:textId="77777777" w:rsidTr="003F0459">
        <w:trPr>
          <w:trHeight w:val="766"/>
        </w:trPr>
        <w:tc>
          <w:tcPr>
            <w:tcW w:w="9855" w:type="dxa"/>
            <w:tcBorders>
              <w:top w:val="single" w:sz="12" w:space="0" w:color="auto"/>
              <w:bottom w:val="single" w:sz="12" w:space="0" w:color="auto"/>
            </w:tcBorders>
          </w:tcPr>
          <w:p w14:paraId="585295B5" w14:textId="77777777" w:rsidR="00F73B3C" w:rsidRPr="00F73B3C" w:rsidRDefault="00F73B3C" w:rsidP="00D80C1E">
            <w:pPr>
              <w:numPr>
                <w:ilvl w:val="0"/>
                <w:numId w:val="8"/>
              </w:numPr>
              <w:rPr>
                <w:b/>
                <w:bCs/>
                <w:i/>
                <w:lang w:val="en-ZA"/>
              </w:rPr>
            </w:pPr>
            <w:r w:rsidRPr="00F73B3C">
              <w:rPr>
                <w:b/>
                <w:bCs/>
                <w:i/>
                <w:lang w:val="en-ZA"/>
              </w:rPr>
              <w:t>TECHNICAL COMPETENCIES (JOB-SPECIFIC)</w:t>
            </w:r>
          </w:p>
          <w:p w14:paraId="734624A1" w14:textId="77777777" w:rsidR="00F73B3C" w:rsidRPr="00F73B3C" w:rsidRDefault="00F73B3C" w:rsidP="00CA2738">
            <w:pPr>
              <w:rPr>
                <w:b/>
                <w:bCs/>
                <w:lang w:val="en-ZA"/>
              </w:rPr>
            </w:pPr>
            <w:r w:rsidRPr="00F73B3C">
              <w:rPr>
                <w:b/>
                <w:bCs/>
                <w:lang w:val="en-ZA"/>
              </w:rPr>
              <w:t>Minimum:</w:t>
            </w:r>
          </w:p>
          <w:p w14:paraId="64F8398F" w14:textId="77777777" w:rsidR="00F73B3C" w:rsidRPr="00F73B3C" w:rsidRDefault="00F73B3C" w:rsidP="00CA2738">
            <w:pPr>
              <w:rPr>
                <w:b/>
                <w:bCs/>
                <w:lang w:val="en-ZA"/>
              </w:rPr>
            </w:pPr>
          </w:p>
          <w:p w14:paraId="208C7BBE" w14:textId="3EDE5984" w:rsidR="00F73B3C" w:rsidRPr="00F73B3C" w:rsidRDefault="00F73B3C" w:rsidP="00CA2738">
            <w:pPr>
              <w:rPr>
                <w:b/>
                <w:bCs/>
                <w:lang w:val="en-ZA"/>
              </w:rPr>
            </w:pPr>
            <w:r w:rsidRPr="00F73B3C">
              <w:rPr>
                <w:b/>
                <w:bCs/>
                <w:lang w:val="en-ZA"/>
              </w:rPr>
              <w:t>Recommend</w:t>
            </w:r>
            <w:r w:rsidR="00473564">
              <w:rPr>
                <w:b/>
                <w:bCs/>
                <w:lang w:val="en-ZA"/>
              </w:rPr>
              <w:t>ed</w:t>
            </w:r>
            <w:r w:rsidRPr="00F73B3C">
              <w:rPr>
                <w:b/>
                <w:bCs/>
                <w:lang w:val="en-ZA"/>
              </w:rPr>
              <w:t>:</w:t>
            </w:r>
          </w:p>
        </w:tc>
      </w:tr>
      <w:tr w:rsidR="00F73B3C" w:rsidRPr="00F73B3C" w14:paraId="5F19C792" w14:textId="77777777" w:rsidTr="003F0459">
        <w:tc>
          <w:tcPr>
            <w:tcW w:w="9855" w:type="dxa"/>
            <w:tcBorders>
              <w:top w:val="single" w:sz="12" w:space="0" w:color="auto"/>
              <w:bottom w:val="single" w:sz="12" w:space="0" w:color="auto"/>
            </w:tcBorders>
          </w:tcPr>
          <w:p w14:paraId="21A13930" w14:textId="3BD0E13E" w:rsidR="00F73B3C" w:rsidRPr="00F73B3C" w:rsidRDefault="00F73B3C" w:rsidP="00D80C1E">
            <w:pPr>
              <w:numPr>
                <w:ilvl w:val="0"/>
                <w:numId w:val="8"/>
              </w:numPr>
              <w:rPr>
                <w:b/>
                <w:bCs/>
                <w:i/>
                <w:lang w:val="en-ZA"/>
              </w:rPr>
            </w:pPr>
            <w:r w:rsidRPr="00F73B3C">
              <w:rPr>
                <w:b/>
                <w:bCs/>
                <w:i/>
                <w:lang w:val="en-ZA"/>
              </w:rPr>
              <w:t>BEHAVIOURAL</w:t>
            </w:r>
            <w:r w:rsidR="00473564">
              <w:rPr>
                <w:b/>
                <w:bCs/>
                <w:i/>
                <w:lang w:val="en-ZA"/>
              </w:rPr>
              <w:t>/GENERIC</w:t>
            </w:r>
            <w:r w:rsidRPr="00F73B3C">
              <w:rPr>
                <w:b/>
                <w:bCs/>
                <w:i/>
                <w:lang w:val="en-ZA"/>
              </w:rPr>
              <w:t xml:space="preserve"> COMPETENCIES REQUIRED</w:t>
            </w:r>
          </w:p>
          <w:p w14:paraId="411BB5C9" w14:textId="77777777" w:rsidR="00F73B3C" w:rsidRPr="00F73B3C" w:rsidRDefault="00F73B3C" w:rsidP="00D80C1E">
            <w:pPr>
              <w:numPr>
                <w:ilvl w:val="0"/>
                <w:numId w:val="9"/>
              </w:numPr>
              <w:rPr>
                <w:b/>
                <w:bCs/>
                <w:lang w:val="en-ZA"/>
              </w:rPr>
            </w:pPr>
          </w:p>
        </w:tc>
      </w:tr>
    </w:tbl>
    <w:p w14:paraId="786F75CF" w14:textId="77777777" w:rsidR="00473564" w:rsidRDefault="00473564" w:rsidP="00CA2738">
      <w:pPr>
        <w:jc w:val="left"/>
        <w:rPr>
          <w:b/>
          <w:bCs/>
          <w:lang w:val="en-ZA"/>
        </w:rPr>
      </w:pPr>
      <w:r>
        <w:rPr>
          <w:b/>
          <w:bCs/>
          <w:lang w:val="en-ZA"/>
        </w:rPr>
        <w:br w:type="page"/>
      </w:r>
    </w:p>
    <w:p w14:paraId="1AFF56BE" w14:textId="4F39CBAB" w:rsidR="00444A76" w:rsidRDefault="00473564" w:rsidP="00CA2738">
      <w:pPr>
        <w:pStyle w:val="Heading1"/>
      </w:pPr>
      <w:r>
        <w:lastRenderedPageBreak/>
        <w:t xml:space="preserve">Appendix C: </w:t>
      </w:r>
      <w:r w:rsidR="00DE6CB4">
        <w:t>Leave policy template</w:t>
      </w:r>
    </w:p>
    <w:p w14:paraId="5E7F4478" w14:textId="77777777" w:rsidR="003C0619" w:rsidRDefault="003C0619" w:rsidP="00CA2738">
      <w:pPr>
        <w:rPr>
          <w:lang w:val="en-ZA"/>
        </w:rPr>
      </w:pPr>
    </w:p>
    <w:p w14:paraId="6CD2B033" w14:textId="53E09787" w:rsidR="003C0619" w:rsidRDefault="003C0619" w:rsidP="00CA2738">
      <w:pPr>
        <w:rPr>
          <w:lang w:val="en-ZA"/>
        </w:rPr>
      </w:pPr>
      <w:r>
        <w:rPr>
          <w:lang w:val="en-ZA"/>
        </w:rPr>
        <w:t>Initial headings will be determined by individual institutions</w:t>
      </w:r>
      <w:r w:rsidR="000A4563">
        <w:rPr>
          <w:lang w:val="en-ZA"/>
        </w:rPr>
        <w:t xml:space="preserve">, but </w:t>
      </w:r>
      <w:r w:rsidR="00470932">
        <w:rPr>
          <w:lang w:val="en-ZA"/>
        </w:rPr>
        <w:t xml:space="preserve">will </w:t>
      </w:r>
      <w:r w:rsidR="000A4563">
        <w:rPr>
          <w:lang w:val="en-ZA"/>
        </w:rPr>
        <w:t xml:space="preserve">typically include </w:t>
      </w:r>
      <w:r w:rsidR="00F9098E">
        <w:rPr>
          <w:lang w:val="en-ZA"/>
        </w:rPr>
        <w:t>the following sections</w:t>
      </w:r>
      <w:r w:rsidR="000A4563">
        <w:rPr>
          <w:lang w:val="en-ZA"/>
        </w:rPr>
        <w:t>:</w:t>
      </w:r>
    </w:p>
    <w:p w14:paraId="4C69BA67" w14:textId="6FC577D5" w:rsidR="000A4563" w:rsidRDefault="000B0DD6" w:rsidP="00D80C1E">
      <w:pPr>
        <w:pStyle w:val="ListParagraph"/>
        <w:numPr>
          <w:ilvl w:val="0"/>
          <w:numId w:val="18"/>
        </w:numPr>
        <w:rPr>
          <w:lang w:val="en-ZA"/>
        </w:rPr>
      </w:pPr>
      <w:r>
        <w:rPr>
          <w:b/>
          <w:bCs/>
          <w:lang w:val="en-ZA"/>
        </w:rPr>
        <w:t>Introduction</w:t>
      </w:r>
      <w:r w:rsidR="000A4563" w:rsidRPr="007D28A8">
        <w:rPr>
          <w:b/>
          <w:bCs/>
          <w:lang w:val="en-ZA"/>
        </w:rPr>
        <w:t>/Background</w:t>
      </w:r>
      <w:r w:rsidR="00330E19">
        <w:rPr>
          <w:lang w:val="en-ZA"/>
        </w:rPr>
        <w:t xml:space="preserve">: </w:t>
      </w:r>
      <w:r w:rsidR="00412AAC">
        <w:rPr>
          <w:lang w:val="en-ZA"/>
        </w:rPr>
        <w:t xml:space="preserve">The introduction section might include statements on the institution’s commitment to support </w:t>
      </w:r>
      <w:r w:rsidR="004F4270">
        <w:rPr>
          <w:lang w:val="en-ZA"/>
        </w:rPr>
        <w:t xml:space="preserve">employees in maintaining a </w:t>
      </w:r>
      <w:r w:rsidR="00CB6AC2" w:rsidRPr="00CB6AC2">
        <w:rPr>
          <w:lang w:val="en-ZA"/>
        </w:rPr>
        <w:t xml:space="preserve">healthy work-life balance, </w:t>
      </w:r>
      <w:r w:rsidR="008A2E3D">
        <w:rPr>
          <w:lang w:val="en-ZA"/>
        </w:rPr>
        <w:t>tend</w:t>
      </w:r>
      <w:r w:rsidR="00F9098E">
        <w:rPr>
          <w:lang w:val="en-ZA"/>
        </w:rPr>
        <w:t>ing</w:t>
      </w:r>
      <w:r w:rsidR="008A2E3D">
        <w:rPr>
          <w:lang w:val="en-ZA"/>
        </w:rPr>
        <w:t xml:space="preserve"> to family responsibilities, tak</w:t>
      </w:r>
      <w:r w:rsidR="00F9098E">
        <w:rPr>
          <w:lang w:val="en-ZA"/>
        </w:rPr>
        <w:t>ing</w:t>
      </w:r>
      <w:r w:rsidR="008A2E3D">
        <w:rPr>
          <w:lang w:val="en-ZA"/>
        </w:rPr>
        <w:t xml:space="preserve"> time to further educational </w:t>
      </w:r>
      <w:r w:rsidR="005476B1">
        <w:rPr>
          <w:lang w:val="en-ZA"/>
        </w:rPr>
        <w:t>goals, attend</w:t>
      </w:r>
      <w:r w:rsidR="00F9098E">
        <w:rPr>
          <w:lang w:val="en-ZA"/>
        </w:rPr>
        <w:t>ing</w:t>
      </w:r>
      <w:r w:rsidR="005476B1">
        <w:rPr>
          <w:lang w:val="en-ZA"/>
        </w:rPr>
        <w:t xml:space="preserve"> official engagements outside of work, and </w:t>
      </w:r>
      <w:r w:rsidR="00CB6AC2" w:rsidRPr="00CB6AC2">
        <w:rPr>
          <w:lang w:val="en-ZA"/>
        </w:rPr>
        <w:t>recover</w:t>
      </w:r>
      <w:r w:rsidR="00F9098E">
        <w:rPr>
          <w:lang w:val="en-ZA"/>
        </w:rPr>
        <w:t>ing</w:t>
      </w:r>
      <w:r w:rsidR="00CB6AC2" w:rsidRPr="00CB6AC2">
        <w:rPr>
          <w:lang w:val="en-ZA"/>
        </w:rPr>
        <w:t xml:space="preserve"> from illness or injury.</w:t>
      </w:r>
    </w:p>
    <w:p w14:paraId="086E9DD3" w14:textId="0EDA1C0E" w:rsidR="000A4563" w:rsidRDefault="000A4563" w:rsidP="00D80C1E">
      <w:pPr>
        <w:pStyle w:val="ListParagraph"/>
        <w:numPr>
          <w:ilvl w:val="0"/>
          <w:numId w:val="18"/>
        </w:numPr>
        <w:rPr>
          <w:lang w:val="en-ZA"/>
        </w:rPr>
      </w:pPr>
      <w:r w:rsidRPr="007D28A8">
        <w:rPr>
          <w:b/>
          <w:bCs/>
          <w:lang w:val="en-ZA"/>
        </w:rPr>
        <w:t>Definitions</w:t>
      </w:r>
      <w:r w:rsidR="00363AD2">
        <w:rPr>
          <w:lang w:val="en-ZA"/>
        </w:rPr>
        <w:t xml:space="preserve">: </w:t>
      </w:r>
      <w:r w:rsidR="007D28A8">
        <w:rPr>
          <w:lang w:val="en-ZA"/>
        </w:rPr>
        <w:t xml:space="preserve">Typical </w:t>
      </w:r>
      <w:r w:rsidR="009A3925">
        <w:rPr>
          <w:lang w:val="en-ZA"/>
        </w:rPr>
        <w:t xml:space="preserve">terms that might need clarifying in this context include </w:t>
      </w:r>
      <w:r w:rsidR="00F45F4A">
        <w:rPr>
          <w:lang w:val="en-ZA"/>
        </w:rPr>
        <w:t xml:space="preserve">differentiating between different types of leave, </w:t>
      </w:r>
      <w:r w:rsidR="00363AD2">
        <w:rPr>
          <w:lang w:val="en-ZA"/>
        </w:rPr>
        <w:t>calendar days</w:t>
      </w:r>
      <w:r w:rsidR="009A3925">
        <w:rPr>
          <w:lang w:val="en-ZA"/>
        </w:rPr>
        <w:t xml:space="preserve">, </w:t>
      </w:r>
      <w:r w:rsidR="00363AD2">
        <w:rPr>
          <w:lang w:val="en-ZA"/>
        </w:rPr>
        <w:t xml:space="preserve">workdays, </w:t>
      </w:r>
      <w:r w:rsidR="009A3925">
        <w:rPr>
          <w:lang w:val="en-ZA"/>
        </w:rPr>
        <w:t xml:space="preserve">notice period, </w:t>
      </w:r>
      <w:r w:rsidR="002D3068">
        <w:rPr>
          <w:lang w:val="en-ZA"/>
        </w:rPr>
        <w:t xml:space="preserve">leave approval, leave cycle, </w:t>
      </w:r>
      <w:r w:rsidR="00311F2C">
        <w:rPr>
          <w:lang w:val="en-ZA"/>
        </w:rPr>
        <w:t xml:space="preserve">and relevant </w:t>
      </w:r>
      <w:r w:rsidR="009D11D8">
        <w:rPr>
          <w:lang w:val="en-ZA"/>
        </w:rPr>
        <w:t>labour legislation that guides</w:t>
      </w:r>
      <w:r w:rsidR="00BE5FDE">
        <w:rPr>
          <w:lang w:val="en-ZA"/>
        </w:rPr>
        <w:t xml:space="preserve"> </w:t>
      </w:r>
      <w:r w:rsidR="007A6D4A">
        <w:rPr>
          <w:lang w:val="en-ZA"/>
        </w:rPr>
        <w:t xml:space="preserve">conditions of </w:t>
      </w:r>
      <w:r w:rsidR="00BD57E6">
        <w:rPr>
          <w:lang w:val="en-ZA"/>
        </w:rPr>
        <w:t>employment</w:t>
      </w:r>
      <w:r w:rsidR="00391C3E">
        <w:rPr>
          <w:lang w:val="en-ZA"/>
        </w:rPr>
        <w:t>.</w:t>
      </w:r>
    </w:p>
    <w:p w14:paraId="2DBB1586" w14:textId="382390EF" w:rsidR="000A4563" w:rsidRDefault="000A4563" w:rsidP="00D80C1E">
      <w:pPr>
        <w:pStyle w:val="ListParagraph"/>
        <w:numPr>
          <w:ilvl w:val="0"/>
          <w:numId w:val="18"/>
        </w:numPr>
        <w:rPr>
          <w:lang w:val="en-ZA"/>
        </w:rPr>
      </w:pPr>
      <w:r w:rsidRPr="00B55962">
        <w:rPr>
          <w:b/>
          <w:bCs/>
          <w:lang w:val="en-ZA"/>
        </w:rPr>
        <w:t>Scope</w:t>
      </w:r>
      <w:r w:rsidR="00391C3E">
        <w:rPr>
          <w:lang w:val="en-ZA"/>
        </w:rPr>
        <w:t xml:space="preserve">: The scope </w:t>
      </w:r>
      <w:r w:rsidR="0092425B">
        <w:rPr>
          <w:lang w:val="en-ZA"/>
        </w:rPr>
        <w:t xml:space="preserve">of the policy stipulates the intended audience to which the policy is applicable. </w:t>
      </w:r>
      <w:r w:rsidR="00BD57E6">
        <w:rPr>
          <w:lang w:val="en-ZA"/>
        </w:rPr>
        <w:t>L</w:t>
      </w:r>
      <w:r w:rsidR="0092425B">
        <w:rPr>
          <w:lang w:val="en-ZA"/>
        </w:rPr>
        <w:t>eave polic</w:t>
      </w:r>
      <w:r w:rsidR="00BD57E6">
        <w:rPr>
          <w:lang w:val="en-ZA"/>
        </w:rPr>
        <w:t>ies</w:t>
      </w:r>
      <w:r w:rsidR="0092425B">
        <w:rPr>
          <w:lang w:val="en-ZA"/>
        </w:rPr>
        <w:t xml:space="preserve"> </w:t>
      </w:r>
      <w:r w:rsidR="00BD57E6">
        <w:rPr>
          <w:lang w:val="en-ZA"/>
        </w:rPr>
        <w:t>should</w:t>
      </w:r>
      <w:r w:rsidR="0092425B">
        <w:rPr>
          <w:lang w:val="en-ZA"/>
        </w:rPr>
        <w:t xml:space="preserve"> be applicable to all </w:t>
      </w:r>
      <w:r w:rsidR="00E3139F">
        <w:rPr>
          <w:lang w:val="en-ZA"/>
        </w:rPr>
        <w:t>permanent and contractual staff</w:t>
      </w:r>
      <w:r w:rsidR="007A6D4A">
        <w:rPr>
          <w:lang w:val="en-ZA"/>
        </w:rPr>
        <w:t xml:space="preserve"> who qualify for leave benefits as part of their conditions of appointment</w:t>
      </w:r>
      <w:r w:rsidR="00E3139F">
        <w:rPr>
          <w:lang w:val="en-ZA"/>
        </w:rPr>
        <w:t>, regardless of whether they are appointed in an academic, non-academic, or administrative position</w:t>
      </w:r>
      <w:r w:rsidR="007D28A8">
        <w:rPr>
          <w:lang w:val="en-ZA"/>
        </w:rPr>
        <w:t>.</w:t>
      </w:r>
    </w:p>
    <w:p w14:paraId="17234049" w14:textId="255509C2" w:rsidR="00CC4EAD" w:rsidRPr="00123235" w:rsidRDefault="000A4563" w:rsidP="00D80C1E">
      <w:pPr>
        <w:pStyle w:val="ListParagraph"/>
        <w:numPr>
          <w:ilvl w:val="0"/>
          <w:numId w:val="18"/>
        </w:numPr>
        <w:rPr>
          <w:lang w:val="en-ZA"/>
        </w:rPr>
      </w:pPr>
      <w:r w:rsidRPr="00123235">
        <w:rPr>
          <w:b/>
          <w:bCs/>
          <w:lang w:val="en-ZA"/>
        </w:rPr>
        <w:t>Principles</w:t>
      </w:r>
      <w:r w:rsidR="00391C3E" w:rsidRPr="00123235">
        <w:rPr>
          <w:lang w:val="en-ZA"/>
        </w:rPr>
        <w:t xml:space="preserve">: </w:t>
      </w:r>
      <w:r w:rsidR="00123235" w:rsidRPr="00123235">
        <w:rPr>
          <w:lang w:val="en-ZA"/>
        </w:rPr>
        <w:t>Institutions typically list a set of principles that the policy statements are based on. These might include</w:t>
      </w:r>
      <w:r w:rsidR="00123235">
        <w:rPr>
          <w:lang w:val="en-ZA"/>
        </w:rPr>
        <w:t xml:space="preserve"> </w:t>
      </w:r>
      <w:r w:rsidR="00123235" w:rsidRPr="00123235">
        <w:rPr>
          <w:lang w:val="en-ZA"/>
        </w:rPr>
        <w:t>c</w:t>
      </w:r>
      <w:r w:rsidR="00CC4EAD" w:rsidRPr="00123235">
        <w:rPr>
          <w:lang w:val="en-ZA"/>
        </w:rPr>
        <w:t xml:space="preserve">ompliance with </w:t>
      </w:r>
      <w:r w:rsidR="00123235" w:rsidRPr="00123235">
        <w:rPr>
          <w:lang w:val="en-ZA"/>
        </w:rPr>
        <w:t>l</w:t>
      </w:r>
      <w:r w:rsidR="00CC4EAD" w:rsidRPr="00123235">
        <w:rPr>
          <w:lang w:val="en-ZA"/>
        </w:rPr>
        <w:t>egislation</w:t>
      </w:r>
      <w:r w:rsidR="00123235" w:rsidRPr="00123235">
        <w:rPr>
          <w:lang w:val="en-ZA"/>
        </w:rPr>
        <w:t xml:space="preserve"> and institutional statutes, </w:t>
      </w:r>
      <w:r w:rsidR="00123235">
        <w:rPr>
          <w:lang w:val="en-ZA"/>
        </w:rPr>
        <w:t>valuing e</w:t>
      </w:r>
      <w:r w:rsidR="00CC4EAD" w:rsidRPr="00123235">
        <w:rPr>
          <w:lang w:val="en-ZA"/>
        </w:rPr>
        <w:t xml:space="preserve">quity and </w:t>
      </w:r>
      <w:r w:rsidR="00123235">
        <w:rPr>
          <w:lang w:val="en-ZA"/>
        </w:rPr>
        <w:t>f</w:t>
      </w:r>
      <w:r w:rsidR="00CC4EAD" w:rsidRPr="00123235">
        <w:rPr>
          <w:lang w:val="en-ZA"/>
        </w:rPr>
        <w:t>airness</w:t>
      </w:r>
      <w:r w:rsidR="00123235">
        <w:rPr>
          <w:lang w:val="en-ZA"/>
        </w:rPr>
        <w:t>, enabling w</w:t>
      </w:r>
      <w:r w:rsidR="00CC4EAD" w:rsidRPr="00123235">
        <w:rPr>
          <w:lang w:val="en-ZA"/>
        </w:rPr>
        <w:t>ork-</w:t>
      </w:r>
      <w:r w:rsidR="00123235">
        <w:rPr>
          <w:lang w:val="en-ZA"/>
        </w:rPr>
        <w:t>l</w:t>
      </w:r>
      <w:r w:rsidR="00CC4EAD" w:rsidRPr="00123235">
        <w:rPr>
          <w:lang w:val="en-ZA"/>
        </w:rPr>
        <w:t xml:space="preserve">ife </w:t>
      </w:r>
      <w:r w:rsidR="00123235">
        <w:rPr>
          <w:lang w:val="en-ZA"/>
        </w:rPr>
        <w:t>b</w:t>
      </w:r>
      <w:r w:rsidR="00CC4EAD" w:rsidRPr="00123235">
        <w:rPr>
          <w:lang w:val="en-ZA"/>
        </w:rPr>
        <w:t>alance</w:t>
      </w:r>
      <w:r w:rsidR="00123235">
        <w:rPr>
          <w:lang w:val="en-ZA"/>
        </w:rPr>
        <w:t>, ensuring o</w:t>
      </w:r>
      <w:r w:rsidR="00CC4EAD" w:rsidRPr="00123235">
        <w:rPr>
          <w:lang w:val="en-ZA"/>
        </w:rPr>
        <w:t xml:space="preserve">perational </w:t>
      </w:r>
      <w:r w:rsidR="00123235">
        <w:rPr>
          <w:lang w:val="en-ZA"/>
        </w:rPr>
        <w:t>c</w:t>
      </w:r>
      <w:r w:rsidR="00CC4EAD" w:rsidRPr="00123235">
        <w:rPr>
          <w:lang w:val="en-ZA"/>
        </w:rPr>
        <w:t>ontinuity</w:t>
      </w:r>
      <w:r w:rsidR="00123235">
        <w:rPr>
          <w:lang w:val="en-ZA"/>
        </w:rPr>
        <w:t>, and committing to s</w:t>
      </w:r>
      <w:r w:rsidR="00CC4EAD" w:rsidRPr="00123235">
        <w:rPr>
          <w:lang w:val="en-ZA"/>
        </w:rPr>
        <w:t xml:space="preserve">upport for </w:t>
      </w:r>
      <w:r w:rsidR="00123235">
        <w:rPr>
          <w:lang w:val="en-ZA"/>
        </w:rPr>
        <w:t>p</w:t>
      </w:r>
      <w:r w:rsidR="00CC4EAD" w:rsidRPr="00123235">
        <w:rPr>
          <w:lang w:val="en-ZA"/>
        </w:rPr>
        <w:t xml:space="preserve">rofessional </w:t>
      </w:r>
      <w:r w:rsidR="00123235">
        <w:rPr>
          <w:lang w:val="en-ZA"/>
        </w:rPr>
        <w:t>d</w:t>
      </w:r>
      <w:r w:rsidR="00CC4EAD" w:rsidRPr="00123235">
        <w:rPr>
          <w:lang w:val="en-ZA"/>
        </w:rPr>
        <w:t>evelopment</w:t>
      </w:r>
      <w:r w:rsidR="00123235">
        <w:rPr>
          <w:lang w:val="en-ZA"/>
        </w:rPr>
        <w:t>.</w:t>
      </w:r>
    </w:p>
    <w:p w14:paraId="7EA67041" w14:textId="07243C1F" w:rsidR="000A4563" w:rsidRDefault="009E21FB" w:rsidP="00D80C1E">
      <w:pPr>
        <w:pStyle w:val="ListParagraph"/>
        <w:numPr>
          <w:ilvl w:val="0"/>
          <w:numId w:val="18"/>
        </w:numPr>
        <w:rPr>
          <w:lang w:val="en-ZA"/>
        </w:rPr>
      </w:pPr>
      <w:r w:rsidRPr="00B55962">
        <w:rPr>
          <w:b/>
          <w:bCs/>
          <w:lang w:val="en-ZA"/>
        </w:rPr>
        <w:t>Policy alignment</w:t>
      </w:r>
      <w:r w:rsidR="00B55962">
        <w:rPr>
          <w:lang w:val="en-ZA"/>
        </w:rPr>
        <w:t xml:space="preserve">: </w:t>
      </w:r>
      <w:r w:rsidR="00A97A7B">
        <w:rPr>
          <w:lang w:val="en-ZA"/>
        </w:rPr>
        <w:t xml:space="preserve">Listing </w:t>
      </w:r>
      <w:r w:rsidR="0044138F">
        <w:rPr>
          <w:lang w:val="en-ZA"/>
        </w:rPr>
        <w:t xml:space="preserve">relevant policies or guiding documents that need to be read alongside the leave policy. </w:t>
      </w:r>
    </w:p>
    <w:p w14:paraId="661F86FA" w14:textId="77777777" w:rsidR="009E21FB" w:rsidRDefault="009E21FB" w:rsidP="00CA2738">
      <w:pPr>
        <w:rPr>
          <w:lang w:val="en-ZA"/>
        </w:rPr>
      </w:pPr>
    </w:p>
    <w:p w14:paraId="4768ACD2" w14:textId="3D745EFF" w:rsidR="009E21FB" w:rsidRDefault="009E21FB" w:rsidP="00CA2738">
      <w:pPr>
        <w:rPr>
          <w:lang w:val="en-ZA"/>
        </w:rPr>
      </w:pPr>
      <w:r>
        <w:rPr>
          <w:lang w:val="en-ZA"/>
        </w:rPr>
        <w:t>Thereafter, policy statements on the following aspects of leave could be considered:</w:t>
      </w:r>
    </w:p>
    <w:p w14:paraId="771AF23C" w14:textId="77777777" w:rsidR="00353853" w:rsidRDefault="00353853" w:rsidP="00CA2738">
      <w:pPr>
        <w:rPr>
          <w:lang w:val="en-ZA"/>
        </w:rPr>
      </w:pPr>
    </w:p>
    <w:p w14:paraId="6482CD67" w14:textId="1CB6250F" w:rsidR="009E21FB" w:rsidRDefault="009E21FB" w:rsidP="002326D6">
      <w:pPr>
        <w:pStyle w:val="Heading2"/>
        <w:numPr>
          <w:ilvl w:val="0"/>
          <w:numId w:val="0"/>
        </w:numPr>
        <w:spacing w:before="0" w:after="0"/>
        <w:rPr>
          <w:lang w:val="en-ZA"/>
        </w:rPr>
      </w:pPr>
      <w:r>
        <w:rPr>
          <w:lang w:val="en-ZA"/>
        </w:rPr>
        <w:t>Vacation leave</w:t>
      </w:r>
    </w:p>
    <w:p w14:paraId="2DE90A3B" w14:textId="77777777" w:rsidR="00353853" w:rsidRDefault="00353853" w:rsidP="00CA2738">
      <w:pPr>
        <w:rPr>
          <w:lang w:val="en-ZA"/>
        </w:rPr>
      </w:pPr>
    </w:p>
    <w:p w14:paraId="48EC551A" w14:textId="5FCBF0FD" w:rsidR="009E21FB" w:rsidRDefault="007919D5" w:rsidP="00CA2738">
      <w:pPr>
        <w:rPr>
          <w:lang w:val="en-ZA"/>
        </w:rPr>
      </w:pPr>
      <w:r>
        <w:rPr>
          <w:lang w:val="en-ZA"/>
        </w:rPr>
        <w:t>This section should include statements on:</w:t>
      </w:r>
    </w:p>
    <w:p w14:paraId="187FC81B" w14:textId="68C4EF95" w:rsidR="00D103C4" w:rsidRDefault="00D103C4" w:rsidP="00D80C1E">
      <w:pPr>
        <w:pStyle w:val="ListParagraph"/>
        <w:numPr>
          <w:ilvl w:val="0"/>
          <w:numId w:val="19"/>
        </w:numPr>
        <w:rPr>
          <w:lang w:val="en-ZA"/>
        </w:rPr>
      </w:pPr>
      <w:r>
        <w:rPr>
          <w:lang w:val="en-ZA"/>
        </w:rPr>
        <w:t>Defining and explaining what constitutes vacation leave</w:t>
      </w:r>
      <w:r w:rsidR="00DC2619">
        <w:rPr>
          <w:lang w:val="en-ZA"/>
        </w:rPr>
        <w:t xml:space="preserve">, and what it excludes. </w:t>
      </w:r>
    </w:p>
    <w:p w14:paraId="5BE1D3E1" w14:textId="2225A035" w:rsidR="007919D5" w:rsidRDefault="007919D5" w:rsidP="00D80C1E">
      <w:pPr>
        <w:pStyle w:val="ListParagraph"/>
        <w:numPr>
          <w:ilvl w:val="0"/>
          <w:numId w:val="19"/>
        </w:numPr>
        <w:rPr>
          <w:lang w:val="en-ZA"/>
        </w:rPr>
      </w:pPr>
      <w:r>
        <w:rPr>
          <w:lang w:val="en-ZA"/>
        </w:rPr>
        <w:t xml:space="preserve">Labour law guidelines </w:t>
      </w:r>
      <w:r w:rsidR="00C27527">
        <w:rPr>
          <w:lang w:val="en-ZA"/>
        </w:rPr>
        <w:t>regarding vacation days (if relevant)</w:t>
      </w:r>
      <w:r w:rsidR="00CC6D35">
        <w:rPr>
          <w:lang w:val="en-ZA"/>
        </w:rPr>
        <w:t>.</w:t>
      </w:r>
    </w:p>
    <w:p w14:paraId="386F01C0" w14:textId="3C2BCFCB" w:rsidR="00A24DBE" w:rsidRPr="007919D5" w:rsidRDefault="00A24DBE" w:rsidP="00D80C1E">
      <w:pPr>
        <w:pStyle w:val="ListParagraph"/>
        <w:numPr>
          <w:ilvl w:val="0"/>
          <w:numId w:val="19"/>
        </w:numPr>
        <w:rPr>
          <w:lang w:val="en-ZA"/>
        </w:rPr>
      </w:pPr>
      <w:r>
        <w:rPr>
          <w:lang w:val="en-ZA"/>
        </w:rPr>
        <w:t>How vacation leave is calculated</w:t>
      </w:r>
      <w:r w:rsidR="00CC6D35">
        <w:rPr>
          <w:lang w:val="en-ZA"/>
        </w:rPr>
        <w:t>.</w:t>
      </w:r>
      <w:r w:rsidR="00E755E5">
        <w:rPr>
          <w:lang w:val="en-ZA"/>
        </w:rPr>
        <w:t xml:space="preserve"> </w:t>
      </w:r>
    </w:p>
    <w:p w14:paraId="0F30D635" w14:textId="32B24900" w:rsidR="00A24DBE" w:rsidRDefault="00A24DBE" w:rsidP="00D80C1E">
      <w:pPr>
        <w:pStyle w:val="ListParagraph"/>
        <w:numPr>
          <w:ilvl w:val="0"/>
          <w:numId w:val="19"/>
        </w:numPr>
        <w:rPr>
          <w:lang w:val="en-ZA"/>
        </w:rPr>
      </w:pPr>
      <w:r>
        <w:rPr>
          <w:lang w:val="en-ZA"/>
        </w:rPr>
        <w:t xml:space="preserve">Who qualifies for vacation leave, and </w:t>
      </w:r>
      <w:r w:rsidR="00F9771B">
        <w:rPr>
          <w:lang w:val="en-ZA"/>
        </w:rPr>
        <w:t xml:space="preserve">whether the number of </w:t>
      </w:r>
      <w:r>
        <w:rPr>
          <w:lang w:val="en-ZA"/>
        </w:rPr>
        <w:t xml:space="preserve">days </w:t>
      </w:r>
      <w:r w:rsidR="00F9771B">
        <w:rPr>
          <w:lang w:val="en-ZA"/>
        </w:rPr>
        <w:t>differ</w:t>
      </w:r>
      <w:r w:rsidR="00CF2435">
        <w:rPr>
          <w:lang w:val="en-ZA"/>
        </w:rPr>
        <w:t>s</w:t>
      </w:r>
      <w:r w:rsidR="00F9771B">
        <w:rPr>
          <w:lang w:val="en-ZA"/>
        </w:rPr>
        <w:t xml:space="preserve"> between job categories (e.g., </w:t>
      </w:r>
      <w:r w:rsidR="00002EFC">
        <w:rPr>
          <w:lang w:val="en-ZA"/>
        </w:rPr>
        <w:t xml:space="preserve">non-academic and administrative staff on full-time or contractual appointments might receive 20 days per year, while academic staff might receive 30 days per year). </w:t>
      </w:r>
    </w:p>
    <w:p w14:paraId="20F7F422" w14:textId="1AE0EEB0" w:rsidR="008C0922" w:rsidRPr="00064A9E" w:rsidRDefault="005854D5" w:rsidP="00D80C1E">
      <w:pPr>
        <w:pStyle w:val="ListParagraph"/>
        <w:numPr>
          <w:ilvl w:val="0"/>
          <w:numId w:val="19"/>
        </w:numPr>
        <w:rPr>
          <w:lang w:val="en-ZA"/>
        </w:rPr>
      </w:pPr>
      <w:r w:rsidRPr="00064A9E">
        <w:rPr>
          <w:lang w:val="en-ZA"/>
        </w:rPr>
        <w:t xml:space="preserve">How the vacation leave cycle works (when </w:t>
      </w:r>
      <w:r w:rsidR="00CC6D35" w:rsidRPr="00064A9E">
        <w:rPr>
          <w:lang w:val="en-ZA"/>
        </w:rPr>
        <w:t>annual leave refreshes)</w:t>
      </w:r>
      <w:r w:rsidR="00064A9E">
        <w:rPr>
          <w:lang w:val="en-ZA"/>
        </w:rPr>
        <w:t>, and w</w:t>
      </w:r>
      <w:r w:rsidR="008C0922" w:rsidRPr="00064A9E">
        <w:rPr>
          <w:lang w:val="en-ZA"/>
        </w:rPr>
        <w:t>hat happens to unused leave</w:t>
      </w:r>
      <w:r w:rsidR="00255CEF" w:rsidRPr="00064A9E">
        <w:rPr>
          <w:lang w:val="en-ZA"/>
        </w:rPr>
        <w:t xml:space="preserve">. </w:t>
      </w:r>
    </w:p>
    <w:p w14:paraId="0735F605" w14:textId="2BAB513B" w:rsidR="00CC6D35" w:rsidRDefault="00CC6D35" w:rsidP="00D80C1E">
      <w:pPr>
        <w:pStyle w:val="ListParagraph"/>
        <w:numPr>
          <w:ilvl w:val="0"/>
          <w:numId w:val="19"/>
        </w:numPr>
        <w:rPr>
          <w:lang w:val="en-ZA"/>
        </w:rPr>
      </w:pPr>
      <w:r>
        <w:rPr>
          <w:lang w:val="en-ZA"/>
        </w:rPr>
        <w:t>How leave applications and approvals work.</w:t>
      </w:r>
    </w:p>
    <w:p w14:paraId="7EBF4067" w14:textId="1662E27D" w:rsidR="008C0922" w:rsidRDefault="00075DFD" w:rsidP="00D80C1E">
      <w:pPr>
        <w:pStyle w:val="ListParagraph"/>
        <w:numPr>
          <w:ilvl w:val="0"/>
          <w:numId w:val="19"/>
        </w:numPr>
        <w:rPr>
          <w:lang w:val="en-ZA"/>
        </w:rPr>
      </w:pPr>
      <w:r>
        <w:rPr>
          <w:lang w:val="en-ZA"/>
        </w:rPr>
        <w:t>Conditions of taking vacation leave</w:t>
      </w:r>
      <w:r w:rsidR="004972AC">
        <w:rPr>
          <w:lang w:val="en-ZA"/>
        </w:rPr>
        <w:t xml:space="preserve">, including when </w:t>
      </w:r>
      <w:r w:rsidR="00CF2435">
        <w:rPr>
          <w:lang w:val="en-ZA"/>
        </w:rPr>
        <w:t xml:space="preserve">application for </w:t>
      </w:r>
      <w:r w:rsidR="004972AC">
        <w:rPr>
          <w:lang w:val="en-ZA"/>
        </w:rPr>
        <w:t xml:space="preserve">vacation leave might be rejected. </w:t>
      </w:r>
    </w:p>
    <w:p w14:paraId="096BE20E" w14:textId="54FFA89D" w:rsidR="004972AC" w:rsidRDefault="004972AC" w:rsidP="00D80C1E">
      <w:pPr>
        <w:pStyle w:val="ListParagraph"/>
        <w:numPr>
          <w:ilvl w:val="0"/>
          <w:numId w:val="19"/>
        </w:numPr>
        <w:rPr>
          <w:lang w:val="en-ZA"/>
        </w:rPr>
      </w:pPr>
      <w:r>
        <w:rPr>
          <w:lang w:val="en-ZA"/>
        </w:rPr>
        <w:t xml:space="preserve">Regulations about vacation leave </w:t>
      </w:r>
      <w:r w:rsidR="00617A08">
        <w:rPr>
          <w:lang w:val="en-ZA"/>
        </w:rPr>
        <w:t xml:space="preserve">when terminating employment with the university. </w:t>
      </w:r>
    </w:p>
    <w:p w14:paraId="0D192835" w14:textId="1727FD82" w:rsidR="00DC2619" w:rsidRDefault="00DC2619" w:rsidP="00D80C1E">
      <w:pPr>
        <w:pStyle w:val="ListParagraph"/>
        <w:numPr>
          <w:ilvl w:val="0"/>
          <w:numId w:val="19"/>
        </w:numPr>
        <w:rPr>
          <w:lang w:val="en-ZA"/>
        </w:rPr>
      </w:pPr>
      <w:r>
        <w:rPr>
          <w:lang w:val="en-ZA"/>
        </w:rPr>
        <w:t xml:space="preserve">Processes to follow if there are queries about </w:t>
      </w:r>
      <w:r w:rsidR="002458FF">
        <w:rPr>
          <w:lang w:val="en-ZA"/>
        </w:rPr>
        <w:t xml:space="preserve">leave </w:t>
      </w:r>
      <w:r w:rsidR="00CF2435">
        <w:rPr>
          <w:lang w:val="en-ZA"/>
        </w:rPr>
        <w:t xml:space="preserve">procedures </w:t>
      </w:r>
      <w:r w:rsidR="002458FF">
        <w:rPr>
          <w:lang w:val="en-ZA"/>
        </w:rPr>
        <w:t xml:space="preserve">or approvals. </w:t>
      </w:r>
    </w:p>
    <w:p w14:paraId="1DB7D4B5" w14:textId="37AF056A" w:rsidR="009E21FB" w:rsidRDefault="00052C83" w:rsidP="002326D6">
      <w:pPr>
        <w:pStyle w:val="Heading2"/>
        <w:numPr>
          <w:ilvl w:val="0"/>
          <w:numId w:val="0"/>
        </w:numPr>
        <w:rPr>
          <w:lang w:val="en-ZA"/>
        </w:rPr>
      </w:pPr>
      <w:r>
        <w:rPr>
          <w:lang w:val="en-ZA"/>
        </w:rPr>
        <w:t>Research</w:t>
      </w:r>
      <w:r w:rsidR="002458FF">
        <w:rPr>
          <w:lang w:val="en-ZA"/>
        </w:rPr>
        <w:t xml:space="preserve"> and study</w:t>
      </w:r>
      <w:r>
        <w:rPr>
          <w:lang w:val="en-ZA"/>
        </w:rPr>
        <w:t xml:space="preserve"> leave</w:t>
      </w:r>
    </w:p>
    <w:p w14:paraId="61DFB978" w14:textId="73DCD127" w:rsidR="00484443" w:rsidRDefault="002458FF" w:rsidP="392682D4">
      <w:r w:rsidRPr="392682D4">
        <w:t xml:space="preserve">In most institutions, staff are entitled to </w:t>
      </w:r>
      <w:r w:rsidR="00C83709" w:rsidRPr="392682D4">
        <w:t xml:space="preserve">research or study leave. Research leave </w:t>
      </w:r>
      <w:r w:rsidR="003F23D8" w:rsidRPr="392682D4">
        <w:t xml:space="preserve">typically </w:t>
      </w:r>
      <w:r w:rsidR="00C83709" w:rsidRPr="392682D4">
        <w:t xml:space="preserve">applies to </w:t>
      </w:r>
      <w:r w:rsidR="005E4FCC" w:rsidRPr="392682D4">
        <w:t xml:space="preserve">academic staff who need to take </w:t>
      </w:r>
      <w:r w:rsidR="00424895" w:rsidRPr="392682D4">
        <w:t>leave to do fieldwork</w:t>
      </w:r>
      <w:r w:rsidR="003F23D8" w:rsidRPr="392682D4">
        <w:t xml:space="preserve">, write up findings, or finalise publications. However, </w:t>
      </w:r>
      <w:r w:rsidR="00193C89" w:rsidRPr="392682D4">
        <w:t xml:space="preserve">institutions </w:t>
      </w:r>
      <w:r w:rsidR="00DE2ECA" w:rsidRPr="392682D4">
        <w:t>could</w:t>
      </w:r>
      <w:r w:rsidR="00193C89" w:rsidRPr="392682D4">
        <w:t xml:space="preserve"> consider widening </w:t>
      </w:r>
      <w:r w:rsidR="002D1184" w:rsidRPr="392682D4">
        <w:t xml:space="preserve">these benefits to professional staff advancing research in </w:t>
      </w:r>
      <w:r w:rsidR="00E42F62" w:rsidRPr="392682D4">
        <w:t xml:space="preserve">student support, higher education management, </w:t>
      </w:r>
      <w:r w:rsidR="00F97681" w:rsidRPr="392682D4">
        <w:t>facilities planning, and similar fields that often fall outside of traditional academic appointments</w:t>
      </w:r>
      <w:r w:rsidR="00484443" w:rsidRPr="392682D4">
        <w:t xml:space="preserve">. Study leave, in turn, </w:t>
      </w:r>
      <w:r w:rsidR="00484443" w:rsidRPr="392682D4">
        <w:lastRenderedPageBreak/>
        <w:t xml:space="preserve">includes </w:t>
      </w:r>
      <w:r w:rsidR="002C7BB8" w:rsidRPr="392682D4">
        <w:t xml:space="preserve">sabbaticals for </w:t>
      </w:r>
      <w:r w:rsidR="00181304" w:rsidRPr="392682D4">
        <w:t xml:space="preserve">staff </w:t>
      </w:r>
      <w:r w:rsidR="00CF2435">
        <w:t xml:space="preserve">who are also </w:t>
      </w:r>
      <w:r w:rsidR="002C7BB8" w:rsidRPr="392682D4">
        <w:t>postgraduate students to complete theses and dissertations,</w:t>
      </w:r>
      <w:r w:rsidR="002B5085" w:rsidRPr="392682D4">
        <w:t xml:space="preserve"> and</w:t>
      </w:r>
      <w:r w:rsidR="002C7BB8" w:rsidRPr="392682D4">
        <w:t xml:space="preserve"> leave</w:t>
      </w:r>
      <w:r w:rsidR="002B5085" w:rsidRPr="392682D4">
        <w:t xml:space="preserve"> for staff who are </w:t>
      </w:r>
      <w:r w:rsidR="0047476E" w:rsidRPr="392682D4">
        <w:t xml:space="preserve">attending </w:t>
      </w:r>
      <w:r w:rsidR="00DE2ECA" w:rsidRPr="392682D4">
        <w:t>courses or engaging in continuous professional development opportunities</w:t>
      </w:r>
      <w:r w:rsidR="00CF4BD5" w:rsidRPr="392682D4">
        <w:t>.</w:t>
      </w:r>
      <w:r w:rsidR="002326D6">
        <w:t xml:space="preserve"> </w:t>
      </w:r>
    </w:p>
    <w:p w14:paraId="180B5121" w14:textId="77777777" w:rsidR="00052C83" w:rsidRDefault="00052C83" w:rsidP="00CA2738">
      <w:pPr>
        <w:rPr>
          <w:lang w:val="en-ZA"/>
        </w:rPr>
      </w:pPr>
    </w:p>
    <w:p w14:paraId="7F33398A" w14:textId="3D7B93A2" w:rsidR="00680579" w:rsidRDefault="00680579" w:rsidP="00CA2738">
      <w:pPr>
        <w:rPr>
          <w:lang w:val="en-ZA"/>
        </w:rPr>
      </w:pPr>
      <w:r>
        <w:rPr>
          <w:lang w:val="en-ZA"/>
        </w:rPr>
        <w:t>Policy statements on research and study leave should be clear on:</w:t>
      </w:r>
    </w:p>
    <w:p w14:paraId="6B334E47" w14:textId="30310A07" w:rsidR="00680579" w:rsidRDefault="00680579" w:rsidP="00D80C1E">
      <w:pPr>
        <w:pStyle w:val="ListParagraph"/>
        <w:numPr>
          <w:ilvl w:val="0"/>
          <w:numId w:val="20"/>
        </w:numPr>
        <w:rPr>
          <w:lang w:val="en-ZA"/>
        </w:rPr>
      </w:pPr>
      <w:r>
        <w:rPr>
          <w:lang w:val="en-ZA"/>
        </w:rPr>
        <w:t xml:space="preserve">The conditions </w:t>
      </w:r>
      <w:r w:rsidR="00CF2435">
        <w:rPr>
          <w:lang w:val="en-ZA"/>
        </w:rPr>
        <w:t>under which</w:t>
      </w:r>
      <w:r>
        <w:rPr>
          <w:lang w:val="en-ZA"/>
        </w:rPr>
        <w:t xml:space="preserve"> research</w:t>
      </w:r>
      <w:r w:rsidR="008A703A">
        <w:rPr>
          <w:lang w:val="en-ZA"/>
        </w:rPr>
        <w:t xml:space="preserve"> and study</w:t>
      </w:r>
      <w:r>
        <w:rPr>
          <w:lang w:val="en-ZA"/>
        </w:rPr>
        <w:t xml:space="preserve"> leave appl</w:t>
      </w:r>
      <w:r w:rsidR="008A703A">
        <w:rPr>
          <w:lang w:val="en-ZA"/>
        </w:rPr>
        <w:t>y</w:t>
      </w:r>
      <w:r>
        <w:rPr>
          <w:lang w:val="en-ZA"/>
        </w:rPr>
        <w:t xml:space="preserve"> and </w:t>
      </w:r>
      <w:r w:rsidR="00CF2435">
        <w:rPr>
          <w:lang w:val="en-ZA"/>
        </w:rPr>
        <w:t>to</w:t>
      </w:r>
      <w:r>
        <w:rPr>
          <w:lang w:val="en-ZA"/>
        </w:rPr>
        <w:t xml:space="preserve"> whom it applies. </w:t>
      </w:r>
    </w:p>
    <w:p w14:paraId="2A4EF068" w14:textId="50580CA6" w:rsidR="00680579" w:rsidRDefault="00680579" w:rsidP="00D80C1E">
      <w:pPr>
        <w:pStyle w:val="ListParagraph"/>
        <w:numPr>
          <w:ilvl w:val="0"/>
          <w:numId w:val="20"/>
        </w:numPr>
        <w:rPr>
          <w:lang w:val="en-ZA"/>
        </w:rPr>
      </w:pPr>
      <w:r>
        <w:rPr>
          <w:lang w:val="en-ZA"/>
        </w:rPr>
        <w:t>The number of days allocated for research</w:t>
      </w:r>
      <w:r w:rsidR="008A703A">
        <w:rPr>
          <w:lang w:val="en-ZA"/>
        </w:rPr>
        <w:t xml:space="preserve"> and study</w:t>
      </w:r>
      <w:r>
        <w:rPr>
          <w:lang w:val="en-ZA"/>
        </w:rPr>
        <w:t xml:space="preserve"> leave per leave cycle. </w:t>
      </w:r>
    </w:p>
    <w:p w14:paraId="31698DF0" w14:textId="6E1DE6F0" w:rsidR="00680579" w:rsidRDefault="00CF2435" w:rsidP="00D80C1E">
      <w:pPr>
        <w:pStyle w:val="ListParagraph"/>
        <w:numPr>
          <w:ilvl w:val="0"/>
          <w:numId w:val="20"/>
        </w:numPr>
        <w:rPr>
          <w:lang w:val="en-ZA"/>
        </w:rPr>
      </w:pPr>
      <w:r>
        <w:rPr>
          <w:lang w:val="en-ZA"/>
        </w:rPr>
        <w:t>Leave a</w:t>
      </w:r>
      <w:r w:rsidR="00680579">
        <w:rPr>
          <w:lang w:val="en-ZA"/>
        </w:rPr>
        <w:t xml:space="preserve">pplication and approval processes. </w:t>
      </w:r>
    </w:p>
    <w:p w14:paraId="397706F5" w14:textId="4FBC1C7E" w:rsidR="00680579" w:rsidRDefault="00680579" w:rsidP="00D80C1E">
      <w:pPr>
        <w:pStyle w:val="ListParagraph"/>
        <w:numPr>
          <w:ilvl w:val="0"/>
          <w:numId w:val="20"/>
        </w:numPr>
        <w:rPr>
          <w:lang w:val="en-ZA"/>
        </w:rPr>
      </w:pPr>
      <w:r>
        <w:rPr>
          <w:lang w:val="en-ZA"/>
        </w:rPr>
        <w:t>Conditions for cancellation of research</w:t>
      </w:r>
      <w:r w:rsidR="008A703A">
        <w:rPr>
          <w:lang w:val="en-ZA"/>
        </w:rPr>
        <w:t xml:space="preserve"> and study</w:t>
      </w:r>
      <w:r>
        <w:rPr>
          <w:lang w:val="en-ZA"/>
        </w:rPr>
        <w:t xml:space="preserve"> leave. </w:t>
      </w:r>
    </w:p>
    <w:p w14:paraId="0A63C85E" w14:textId="124CF2B3" w:rsidR="008A703A" w:rsidRDefault="008A703A" w:rsidP="00D80C1E">
      <w:pPr>
        <w:pStyle w:val="ListParagraph"/>
        <w:numPr>
          <w:ilvl w:val="0"/>
          <w:numId w:val="20"/>
        </w:numPr>
        <w:rPr>
          <w:lang w:val="en-ZA"/>
        </w:rPr>
      </w:pPr>
      <w:r>
        <w:rPr>
          <w:lang w:val="en-ZA"/>
        </w:rPr>
        <w:t xml:space="preserve">Any other conditions accompanying research or study leave, </w:t>
      </w:r>
      <w:r w:rsidR="00CF2435">
        <w:rPr>
          <w:lang w:val="en-ZA"/>
        </w:rPr>
        <w:t>e.g.</w:t>
      </w:r>
      <w:r>
        <w:rPr>
          <w:lang w:val="en-ZA"/>
        </w:rPr>
        <w:t>, work-back agreements</w:t>
      </w:r>
      <w:r w:rsidR="004F5E10">
        <w:rPr>
          <w:lang w:val="en-ZA"/>
        </w:rPr>
        <w:t xml:space="preserve">, workload arrangements, etc. </w:t>
      </w:r>
    </w:p>
    <w:p w14:paraId="5C712538" w14:textId="6ED58755" w:rsidR="00052C83" w:rsidRDefault="00B5755F" w:rsidP="002326D6">
      <w:pPr>
        <w:pStyle w:val="Heading2"/>
        <w:numPr>
          <w:ilvl w:val="0"/>
          <w:numId w:val="0"/>
        </w:numPr>
        <w:rPr>
          <w:lang w:val="en-ZA"/>
        </w:rPr>
      </w:pPr>
      <w:r>
        <w:rPr>
          <w:lang w:val="en-ZA"/>
        </w:rPr>
        <w:t>Work-related</w:t>
      </w:r>
      <w:r w:rsidR="00052C83">
        <w:rPr>
          <w:lang w:val="en-ZA"/>
        </w:rPr>
        <w:t xml:space="preserve"> leave</w:t>
      </w:r>
    </w:p>
    <w:p w14:paraId="367D0F72" w14:textId="05EC5ADA" w:rsidR="00052C83" w:rsidRDefault="00B5755F" w:rsidP="00CA2738">
      <w:pPr>
        <w:rPr>
          <w:lang w:val="en-ZA"/>
        </w:rPr>
      </w:pPr>
      <w:r>
        <w:rPr>
          <w:lang w:val="en-ZA"/>
        </w:rPr>
        <w:t xml:space="preserve">Work-related leave, also referred to as </w:t>
      </w:r>
      <w:r w:rsidR="00875009">
        <w:rPr>
          <w:lang w:val="en-ZA"/>
        </w:rPr>
        <w:t>s</w:t>
      </w:r>
      <w:r w:rsidR="00245AFF">
        <w:rPr>
          <w:lang w:val="en-ZA"/>
        </w:rPr>
        <w:t>pecial leave</w:t>
      </w:r>
      <w:r w:rsidR="00875009">
        <w:rPr>
          <w:lang w:val="en-ZA"/>
        </w:rPr>
        <w:t>,</w:t>
      </w:r>
      <w:r w:rsidR="00245AFF">
        <w:rPr>
          <w:lang w:val="en-ZA"/>
        </w:rPr>
        <w:t xml:space="preserve"> typically includes time </w:t>
      </w:r>
      <w:r w:rsidR="0009077B">
        <w:rPr>
          <w:lang w:val="en-ZA"/>
        </w:rPr>
        <w:t xml:space="preserve">spent away from work on official engagements, including attending conferences, </w:t>
      </w:r>
      <w:r w:rsidR="003A6763">
        <w:rPr>
          <w:lang w:val="en-ZA"/>
        </w:rPr>
        <w:t xml:space="preserve">traveling to satellite campuses, </w:t>
      </w:r>
      <w:r w:rsidR="00377AE5">
        <w:rPr>
          <w:lang w:val="en-ZA"/>
        </w:rPr>
        <w:t xml:space="preserve">presenting workshops, </w:t>
      </w:r>
      <w:r w:rsidR="00AF74D0">
        <w:rPr>
          <w:lang w:val="en-ZA"/>
        </w:rPr>
        <w:t xml:space="preserve">and so forth. Policy statements on </w:t>
      </w:r>
      <w:r w:rsidR="000533B7">
        <w:rPr>
          <w:lang w:val="en-ZA"/>
        </w:rPr>
        <w:t>work-related</w:t>
      </w:r>
      <w:r w:rsidR="00AF74D0">
        <w:rPr>
          <w:lang w:val="en-ZA"/>
        </w:rPr>
        <w:t xml:space="preserve"> leave should include:</w:t>
      </w:r>
    </w:p>
    <w:p w14:paraId="401063A2" w14:textId="745C9A8F" w:rsidR="00AF74D0" w:rsidRPr="002326D6" w:rsidRDefault="00DB118D" w:rsidP="00D80C1E">
      <w:pPr>
        <w:pStyle w:val="ListParagraph"/>
        <w:numPr>
          <w:ilvl w:val="0"/>
          <w:numId w:val="21"/>
        </w:numPr>
        <w:rPr>
          <w:lang w:val="en-ZA"/>
        </w:rPr>
      </w:pPr>
      <w:r w:rsidRPr="002326D6">
        <w:rPr>
          <w:lang w:val="en-ZA"/>
        </w:rPr>
        <w:t xml:space="preserve">Conditions </w:t>
      </w:r>
      <w:r w:rsidR="00056A86" w:rsidRPr="002326D6">
        <w:rPr>
          <w:lang w:val="en-ZA"/>
        </w:rPr>
        <w:t xml:space="preserve">or activities that </w:t>
      </w:r>
      <w:r w:rsidR="00CF2435">
        <w:rPr>
          <w:lang w:val="en-ZA"/>
        </w:rPr>
        <w:t xml:space="preserve">are supported by </w:t>
      </w:r>
      <w:r w:rsidR="00056A86" w:rsidRPr="002326D6">
        <w:rPr>
          <w:lang w:val="en-ZA"/>
        </w:rPr>
        <w:t xml:space="preserve">work-related leave, as well as eligibility criteria for staff. </w:t>
      </w:r>
    </w:p>
    <w:p w14:paraId="638F922A" w14:textId="1AB044D7" w:rsidR="000533B7" w:rsidRPr="002326D6" w:rsidRDefault="000533B7" w:rsidP="00D80C1E">
      <w:pPr>
        <w:pStyle w:val="ListParagraph"/>
        <w:numPr>
          <w:ilvl w:val="0"/>
          <w:numId w:val="21"/>
        </w:numPr>
        <w:rPr>
          <w:lang w:val="en-ZA"/>
        </w:rPr>
      </w:pPr>
      <w:r w:rsidRPr="002326D6">
        <w:rPr>
          <w:lang w:val="en-ZA"/>
        </w:rPr>
        <w:t xml:space="preserve">The number of days allocated for work-related leave per leave cycle. </w:t>
      </w:r>
    </w:p>
    <w:p w14:paraId="15E734F2" w14:textId="78A6614C" w:rsidR="000533B7" w:rsidRPr="002326D6" w:rsidRDefault="00A244B4" w:rsidP="00D80C1E">
      <w:pPr>
        <w:pStyle w:val="ListParagraph"/>
        <w:numPr>
          <w:ilvl w:val="0"/>
          <w:numId w:val="21"/>
        </w:numPr>
        <w:rPr>
          <w:lang w:val="en-ZA"/>
        </w:rPr>
      </w:pPr>
      <w:r>
        <w:rPr>
          <w:lang w:val="en-ZA"/>
        </w:rPr>
        <w:t>Leave a</w:t>
      </w:r>
      <w:r w:rsidR="000533B7" w:rsidRPr="002326D6">
        <w:rPr>
          <w:lang w:val="en-ZA"/>
        </w:rPr>
        <w:t xml:space="preserve">pplication and approval processes. </w:t>
      </w:r>
    </w:p>
    <w:p w14:paraId="61E6D9AA" w14:textId="3C8AEDA5" w:rsidR="000533B7" w:rsidRPr="002326D6" w:rsidRDefault="000533B7" w:rsidP="00D80C1E">
      <w:pPr>
        <w:pStyle w:val="ListParagraph"/>
        <w:numPr>
          <w:ilvl w:val="0"/>
          <w:numId w:val="21"/>
        </w:numPr>
        <w:rPr>
          <w:lang w:val="en-ZA"/>
        </w:rPr>
      </w:pPr>
      <w:r w:rsidRPr="002326D6">
        <w:rPr>
          <w:lang w:val="en-ZA"/>
        </w:rPr>
        <w:t xml:space="preserve">Conditions for cancellation of work-related leave. </w:t>
      </w:r>
    </w:p>
    <w:p w14:paraId="70393FF9" w14:textId="2A154662" w:rsidR="000533B7" w:rsidRPr="002326D6" w:rsidRDefault="000533B7" w:rsidP="00D80C1E">
      <w:pPr>
        <w:pStyle w:val="ListParagraph"/>
        <w:numPr>
          <w:ilvl w:val="0"/>
          <w:numId w:val="21"/>
        </w:numPr>
        <w:rPr>
          <w:lang w:val="en-ZA"/>
        </w:rPr>
      </w:pPr>
      <w:r w:rsidRPr="002326D6">
        <w:rPr>
          <w:lang w:val="en-ZA"/>
        </w:rPr>
        <w:t xml:space="preserve">Any other conditions accompanying work-related leave, </w:t>
      </w:r>
      <w:r w:rsidR="00A244B4">
        <w:rPr>
          <w:lang w:val="en-ZA"/>
        </w:rPr>
        <w:t>e.g.</w:t>
      </w:r>
      <w:r w:rsidRPr="002326D6">
        <w:rPr>
          <w:lang w:val="en-ZA"/>
        </w:rPr>
        <w:t xml:space="preserve">, work-back agreements, workload arrangements, etc. </w:t>
      </w:r>
    </w:p>
    <w:p w14:paraId="233FF6C4" w14:textId="614DDBDD" w:rsidR="00052C83" w:rsidRDefault="00052C83" w:rsidP="002326D6">
      <w:pPr>
        <w:pStyle w:val="Heading2"/>
        <w:numPr>
          <w:ilvl w:val="0"/>
          <w:numId w:val="0"/>
        </w:numPr>
        <w:rPr>
          <w:lang w:val="en-ZA"/>
        </w:rPr>
      </w:pPr>
      <w:r>
        <w:rPr>
          <w:lang w:val="en-ZA"/>
        </w:rPr>
        <w:t>Sick leave</w:t>
      </w:r>
    </w:p>
    <w:p w14:paraId="162208BF" w14:textId="0417E914" w:rsidR="00052C83" w:rsidRDefault="00281717" w:rsidP="00CA2738">
      <w:pPr>
        <w:rPr>
          <w:lang w:val="en-ZA"/>
        </w:rPr>
      </w:pPr>
      <w:r>
        <w:rPr>
          <w:lang w:val="en-ZA"/>
        </w:rPr>
        <w:t>Institutional sick leave policy statements should align with national legislation</w:t>
      </w:r>
      <w:r w:rsidR="00E201F2">
        <w:rPr>
          <w:lang w:val="en-ZA"/>
        </w:rPr>
        <w:t xml:space="preserve">. Typically, staff members are allocated one day </w:t>
      </w:r>
      <w:r w:rsidR="00A244B4">
        <w:rPr>
          <w:lang w:val="en-ZA"/>
        </w:rPr>
        <w:t xml:space="preserve">of </w:t>
      </w:r>
      <w:r w:rsidR="00E201F2">
        <w:rPr>
          <w:lang w:val="en-ZA"/>
        </w:rPr>
        <w:t>paid sick leave per month</w:t>
      </w:r>
      <w:r w:rsidR="00A244B4">
        <w:rPr>
          <w:lang w:val="en-ZA"/>
        </w:rPr>
        <w:t>.</w:t>
      </w:r>
      <w:r w:rsidR="00E201F2">
        <w:rPr>
          <w:lang w:val="en-ZA"/>
        </w:rPr>
        <w:t xml:space="preserve"> </w:t>
      </w:r>
      <w:r w:rsidR="00A244B4">
        <w:rPr>
          <w:lang w:val="en-ZA"/>
        </w:rPr>
        <w:t>H</w:t>
      </w:r>
      <w:r w:rsidR="00E201F2">
        <w:rPr>
          <w:lang w:val="en-ZA"/>
        </w:rPr>
        <w:t>owever</w:t>
      </w:r>
      <w:r w:rsidR="00A244B4">
        <w:rPr>
          <w:lang w:val="en-ZA"/>
        </w:rPr>
        <w:t>,</w:t>
      </w:r>
      <w:r w:rsidR="00E201F2">
        <w:rPr>
          <w:lang w:val="en-ZA"/>
        </w:rPr>
        <w:t xml:space="preserve"> there are certain terms and conditions </w:t>
      </w:r>
      <w:r w:rsidR="00CC7F1D">
        <w:rPr>
          <w:lang w:val="en-ZA"/>
        </w:rPr>
        <w:t>that guide the transparent and responsible use of paid sick leave. Policy statements should therefore:</w:t>
      </w:r>
    </w:p>
    <w:p w14:paraId="75042769" w14:textId="46423524" w:rsidR="00CC7F1D" w:rsidRDefault="00C912FA" w:rsidP="00D80C1E">
      <w:pPr>
        <w:pStyle w:val="ListParagraph"/>
        <w:numPr>
          <w:ilvl w:val="0"/>
          <w:numId w:val="22"/>
        </w:numPr>
        <w:rPr>
          <w:lang w:val="en-ZA"/>
        </w:rPr>
      </w:pPr>
      <w:r>
        <w:rPr>
          <w:lang w:val="en-ZA"/>
        </w:rPr>
        <w:t xml:space="preserve">Stipulate how institutional provisioning of paid sick leave aligns with national legislation. </w:t>
      </w:r>
    </w:p>
    <w:p w14:paraId="35EEC3E2" w14:textId="431A6031" w:rsidR="00F44FEF" w:rsidRPr="00E63C96" w:rsidRDefault="00F30DF6" w:rsidP="00D80C1E">
      <w:pPr>
        <w:pStyle w:val="ListParagraph"/>
        <w:numPr>
          <w:ilvl w:val="0"/>
          <w:numId w:val="22"/>
        </w:numPr>
        <w:rPr>
          <w:lang w:val="en-ZA"/>
        </w:rPr>
      </w:pPr>
      <w:r>
        <w:rPr>
          <w:lang w:val="en-ZA"/>
        </w:rPr>
        <w:t>List the c</w:t>
      </w:r>
      <w:r w:rsidR="00F44FEF">
        <w:rPr>
          <w:lang w:val="en-ZA"/>
        </w:rPr>
        <w:t xml:space="preserve">onditions </w:t>
      </w:r>
      <w:r>
        <w:rPr>
          <w:lang w:val="en-ZA"/>
        </w:rPr>
        <w:t>of sick</w:t>
      </w:r>
      <w:r w:rsidR="00F44FEF">
        <w:rPr>
          <w:lang w:val="en-ZA"/>
        </w:rPr>
        <w:t xml:space="preserve"> leave</w:t>
      </w:r>
      <w:r w:rsidR="00E63C96">
        <w:rPr>
          <w:lang w:val="en-ZA"/>
        </w:rPr>
        <w:t xml:space="preserve">, including the </w:t>
      </w:r>
      <w:r w:rsidR="00F44FEF" w:rsidRPr="00E63C96">
        <w:rPr>
          <w:lang w:val="en-ZA"/>
        </w:rPr>
        <w:t xml:space="preserve">number of days allocated for </w:t>
      </w:r>
      <w:r w:rsidR="00E63C96" w:rsidRPr="00E63C96">
        <w:rPr>
          <w:lang w:val="en-ZA"/>
        </w:rPr>
        <w:t>sick</w:t>
      </w:r>
      <w:r w:rsidR="00F44FEF" w:rsidRPr="00E63C96">
        <w:rPr>
          <w:lang w:val="en-ZA"/>
        </w:rPr>
        <w:t xml:space="preserve"> leave per cycle</w:t>
      </w:r>
      <w:r w:rsidRPr="00E63C96">
        <w:rPr>
          <w:lang w:val="en-ZA"/>
        </w:rPr>
        <w:t xml:space="preserve">, </w:t>
      </w:r>
      <w:r w:rsidR="00E63C96">
        <w:rPr>
          <w:lang w:val="en-ZA"/>
        </w:rPr>
        <w:t>conditions pertaining to frequency of use, and requirements from medical practitioners</w:t>
      </w:r>
      <w:r w:rsidR="007E3035">
        <w:rPr>
          <w:lang w:val="en-ZA"/>
        </w:rPr>
        <w:t xml:space="preserve"> to support applications</w:t>
      </w:r>
      <w:r w:rsidR="00F44FEF" w:rsidRPr="00E63C96">
        <w:rPr>
          <w:lang w:val="en-ZA"/>
        </w:rPr>
        <w:t xml:space="preserve">. </w:t>
      </w:r>
    </w:p>
    <w:p w14:paraId="23DD947D" w14:textId="25D26A62" w:rsidR="00F44FEF" w:rsidRDefault="00A244B4" w:rsidP="00D80C1E">
      <w:pPr>
        <w:pStyle w:val="ListParagraph"/>
        <w:numPr>
          <w:ilvl w:val="0"/>
          <w:numId w:val="22"/>
        </w:numPr>
        <w:rPr>
          <w:lang w:val="en-ZA"/>
        </w:rPr>
      </w:pPr>
      <w:r>
        <w:rPr>
          <w:lang w:val="en-ZA"/>
        </w:rPr>
        <w:t>Leave a</w:t>
      </w:r>
      <w:r w:rsidR="00F44FEF">
        <w:rPr>
          <w:lang w:val="en-ZA"/>
        </w:rPr>
        <w:t xml:space="preserve">pplication and approval processes. </w:t>
      </w:r>
    </w:p>
    <w:p w14:paraId="06963BA8" w14:textId="0B1C3557" w:rsidR="00F44FEF" w:rsidRDefault="00F44FEF" w:rsidP="00D80C1E">
      <w:pPr>
        <w:pStyle w:val="ListParagraph"/>
        <w:numPr>
          <w:ilvl w:val="0"/>
          <w:numId w:val="22"/>
        </w:numPr>
        <w:rPr>
          <w:lang w:val="en-ZA"/>
        </w:rPr>
      </w:pPr>
      <w:r>
        <w:rPr>
          <w:lang w:val="en-ZA"/>
        </w:rPr>
        <w:t xml:space="preserve">Conditions for cancellation of </w:t>
      </w:r>
      <w:r w:rsidR="007E3035">
        <w:rPr>
          <w:lang w:val="en-ZA"/>
        </w:rPr>
        <w:t>sick</w:t>
      </w:r>
      <w:r>
        <w:rPr>
          <w:lang w:val="en-ZA"/>
        </w:rPr>
        <w:t xml:space="preserve"> leave. </w:t>
      </w:r>
    </w:p>
    <w:p w14:paraId="468B3852" w14:textId="79A424E6" w:rsidR="007E3035" w:rsidRDefault="007E3035" w:rsidP="00D80C1E">
      <w:pPr>
        <w:pStyle w:val="ListParagraph"/>
        <w:numPr>
          <w:ilvl w:val="0"/>
          <w:numId w:val="22"/>
        </w:numPr>
        <w:rPr>
          <w:lang w:val="en-ZA"/>
        </w:rPr>
      </w:pPr>
      <w:r>
        <w:rPr>
          <w:lang w:val="en-ZA"/>
        </w:rPr>
        <w:t xml:space="preserve">Consequences of misuse </w:t>
      </w:r>
      <w:r w:rsidR="00A244B4">
        <w:rPr>
          <w:lang w:val="en-ZA"/>
        </w:rPr>
        <w:t xml:space="preserve">of sick leave </w:t>
      </w:r>
      <w:r w:rsidR="008C25EB">
        <w:rPr>
          <w:lang w:val="en-ZA"/>
        </w:rPr>
        <w:t xml:space="preserve">or deception. </w:t>
      </w:r>
    </w:p>
    <w:p w14:paraId="3F74A2DF" w14:textId="576AC9CD" w:rsidR="00052C83" w:rsidRDefault="001B5369" w:rsidP="002326D6">
      <w:pPr>
        <w:pStyle w:val="Heading2"/>
        <w:numPr>
          <w:ilvl w:val="0"/>
          <w:numId w:val="0"/>
        </w:numPr>
        <w:rPr>
          <w:lang w:val="en-ZA"/>
        </w:rPr>
      </w:pPr>
      <w:r>
        <w:rPr>
          <w:lang w:val="en-ZA"/>
        </w:rPr>
        <w:t>Maternity</w:t>
      </w:r>
      <w:r w:rsidR="005637D1">
        <w:rPr>
          <w:lang w:val="en-ZA"/>
        </w:rPr>
        <w:t>/Paternity</w:t>
      </w:r>
      <w:r>
        <w:rPr>
          <w:lang w:val="en-ZA"/>
        </w:rPr>
        <w:t xml:space="preserve"> leave</w:t>
      </w:r>
    </w:p>
    <w:p w14:paraId="1A4A6717" w14:textId="2485B6EF" w:rsidR="001B5369" w:rsidRDefault="008C25EB" w:rsidP="00CA2738">
      <w:pPr>
        <w:rPr>
          <w:lang w:val="en-ZA"/>
        </w:rPr>
      </w:pPr>
      <w:r>
        <w:rPr>
          <w:lang w:val="en-ZA"/>
        </w:rPr>
        <w:t>Most institutions have expanded traditional maternity leave to include paternity leave</w:t>
      </w:r>
      <w:r w:rsidR="00350884">
        <w:rPr>
          <w:lang w:val="en-ZA"/>
        </w:rPr>
        <w:t xml:space="preserve">. Some are further expanding this benefit by including </w:t>
      </w:r>
      <w:r w:rsidR="004314A4">
        <w:rPr>
          <w:lang w:val="en-ZA"/>
        </w:rPr>
        <w:t>other forms of parent</w:t>
      </w:r>
      <w:r w:rsidR="00A244B4">
        <w:rPr>
          <w:lang w:val="en-ZA"/>
        </w:rPr>
        <w:t>ing</w:t>
      </w:r>
      <w:r w:rsidR="004314A4">
        <w:rPr>
          <w:lang w:val="en-ZA"/>
        </w:rPr>
        <w:t>, such as adoption or fostering</w:t>
      </w:r>
      <w:r w:rsidR="00A244B4">
        <w:rPr>
          <w:lang w:val="en-ZA"/>
        </w:rPr>
        <w:t xml:space="preserve"> of child dependants</w:t>
      </w:r>
      <w:r w:rsidR="004314A4">
        <w:rPr>
          <w:lang w:val="en-ZA"/>
        </w:rPr>
        <w:t xml:space="preserve">. </w:t>
      </w:r>
      <w:r w:rsidR="00F21A47">
        <w:rPr>
          <w:lang w:val="en-ZA"/>
        </w:rPr>
        <w:t>Maternity/Paternity leave policy statements should include:</w:t>
      </w:r>
    </w:p>
    <w:p w14:paraId="23CB9CBE" w14:textId="165FCCD9" w:rsidR="00570D65" w:rsidRDefault="00171D22" w:rsidP="00D80C1E">
      <w:pPr>
        <w:pStyle w:val="ListParagraph"/>
        <w:numPr>
          <w:ilvl w:val="0"/>
          <w:numId w:val="23"/>
        </w:numPr>
        <w:rPr>
          <w:lang w:val="en-ZA"/>
        </w:rPr>
      </w:pPr>
      <w:r>
        <w:rPr>
          <w:lang w:val="en-ZA"/>
        </w:rPr>
        <w:t xml:space="preserve">Conditions </w:t>
      </w:r>
      <w:r w:rsidR="00971477">
        <w:rPr>
          <w:lang w:val="en-ZA"/>
        </w:rPr>
        <w:t>of maternity/paternity</w:t>
      </w:r>
      <w:r>
        <w:rPr>
          <w:lang w:val="en-ZA"/>
        </w:rPr>
        <w:t xml:space="preserve"> leave, as well as eligibility criteria for staff</w:t>
      </w:r>
      <w:r w:rsidR="008E4A8B">
        <w:rPr>
          <w:lang w:val="en-ZA"/>
        </w:rPr>
        <w:t xml:space="preserve"> (this should include restrictions on length of </w:t>
      </w:r>
      <w:r w:rsidR="00AD5C6E">
        <w:rPr>
          <w:lang w:val="en-ZA"/>
        </w:rPr>
        <w:t xml:space="preserve">employment, </w:t>
      </w:r>
      <w:r w:rsidR="00FD0F52">
        <w:rPr>
          <w:lang w:val="en-ZA"/>
        </w:rPr>
        <w:t xml:space="preserve">stipulating </w:t>
      </w:r>
      <w:r w:rsidR="00665E0A">
        <w:rPr>
          <w:lang w:val="en-ZA"/>
        </w:rPr>
        <w:t xml:space="preserve">inclusion criteria for applications, and </w:t>
      </w:r>
      <w:r w:rsidR="002B7AB4">
        <w:rPr>
          <w:lang w:val="en-ZA"/>
        </w:rPr>
        <w:t xml:space="preserve">listing any impact </w:t>
      </w:r>
      <w:r w:rsidR="00A244B4">
        <w:rPr>
          <w:lang w:val="en-ZA"/>
        </w:rPr>
        <w:t xml:space="preserve">that </w:t>
      </w:r>
      <w:r w:rsidR="002B7AB4">
        <w:rPr>
          <w:lang w:val="en-ZA"/>
        </w:rPr>
        <w:t xml:space="preserve">these conditions will have on </w:t>
      </w:r>
      <w:r w:rsidR="0010169B">
        <w:rPr>
          <w:lang w:val="en-ZA"/>
        </w:rPr>
        <w:t xml:space="preserve">receiving </w:t>
      </w:r>
      <w:r w:rsidR="00A244B4">
        <w:rPr>
          <w:lang w:val="en-ZA"/>
        </w:rPr>
        <w:t xml:space="preserve">one’s </w:t>
      </w:r>
      <w:r w:rsidR="0010169B">
        <w:rPr>
          <w:lang w:val="en-ZA"/>
        </w:rPr>
        <w:t>full salary and benefits)</w:t>
      </w:r>
      <w:r>
        <w:rPr>
          <w:lang w:val="en-ZA"/>
        </w:rPr>
        <w:t>.</w:t>
      </w:r>
    </w:p>
    <w:p w14:paraId="14E7A885" w14:textId="133E5D83" w:rsidR="00171D22" w:rsidRDefault="00171D22" w:rsidP="00D80C1E">
      <w:pPr>
        <w:pStyle w:val="ListParagraph"/>
        <w:numPr>
          <w:ilvl w:val="0"/>
          <w:numId w:val="23"/>
        </w:numPr>
        <w:rPr>
          <w:lang w:val="en-ZA"/>
        </w:rPr>
      </w:pPr>
      <w:r>
        <w:rPr>
          <w:lang w:val="en-ZA"/>
        </w:rPr>
        <w:lastRenderedPageBreak/>
        <w:t xml:space="preserve">The number of </w:t>
      </w:r>
      <w:r w:rsidR="00DB48B1">
        <w:rPr>
          <w:lang w:val="en-ZA"/>
        </w:rPr>
        <w:t xml:space="preserve">paid leave </w:t>
      </w:r>
      <w:r>
        <w:rPr>
          <w:lang w:val="en-ZA"/>
        </w:rPr>
        <w:t>days</w:t>
      </w:r>
      <w:r w:rsidR="002811C0">
        <w:rPr>
          <w:lang w:val="en-ZA"/>
        </w:rPr>
        <w:t>/months</w:t>
      </w:r>
      <w:r>
        <w:rPr>
          <w:lang w:val="en-ZA"/>
        </w:rPr>
        <w:t xml:space="preserve"> allocated for </w:t>
      </w:r>
      <w:r w:rsidR="00DB48B1">
        <w:rPr>
          <w:lang w:val="en-ZA"/>
        </w:rPr>
        <w:t>mothers and fathers respectively</w:t>
      </w:r>
      <w:r>
        <w:rPr>
          <w:lang w:val="en-ZA"/>
        </w:rPr>
        <w:t xml:space="preserve"> per leave cycle</w:t>
      </w:r>
      <w:r w:rsidR="00DB48B1">
        <w:rPr>
          <w:lang w:val="en-ZA"/>
        </w:rPr>
        <w:t>, along with possibilities for exten</w:t>
      </w:r>
      <w:r w:rsidR="006A232A">
        <w:rPr>
          <w:lang w:val="en-ZA"/>
        </w:rPr>
        <w:t xml:space="preserve">sion. </w:t>
      </w:r>
    </w:p>
    <w:p w14:paraId="1638A4DA" w14:textId="407E39E2" w:rsidR="00171D22" w:rsidRDefault="00A244B4" w:rsidP="00D80C1E">
      <w:pPr>
        <w:pStyle w:val="ListParagraph"/>
        <w:numPr>
          <w:ilvl w:val="0"/>
          <w:numId w:val="23"/>
        </w:numPr>
        <w:rPr>
          <w:lang w:val="en-ZA"/>
        </w:rPr>
      </w:pPr>
      <w:r>
        <w:rPr>
          <w:lang w:val="en-ZA"/>
        </w:rPr>
        <w:t>Leave a</w:t>
      </w:r>
      <w:r w:rsidR="00171D22">
        <w:rPr>
          <w:lang w:val="en-ZA"/>
        </w:rPr>
        <w:t xml:space="preserve">pplication and approval processes. </w:t>
      </w:r>
    </w:p>
    <w:p w14:paraId="54FA6F7A" w14:textId="6ED583E4" w:rsidR="00171D22" w:rsidRDefault="00171D22" w:rsidP="00D80C1E">
      <w:pPr>
        <w:pStyle w:val="ListParagraph"/>
        <w:numPr>
          <w:ilvl w:val="0"/>
          <w:numId w:val="23"/>
        </w:numPr>
        <w:rPr>
          <w:lang w:val="en-ZA"/>
        </w:rPr>
      </w:pPr>
      <w:r>
        <w:rPr>
          <w:lang w:val="en-ZA"/>
        </w:rPr>
        <w:t xml:space="preserve">Any other conditions accompanying work-related leave, </w:t>
      </w:r>
      <w:r w:rsidR="00A244B4">
        <w:rPr>
          <w:lang w:val="en-ZA"/>
        </w:rPr>
        <w:t>e.g.</w:t>
      </w:r>
      <w:r>
        <w:rPr>
          <w:lang w:val="en-ZA"/>
        </w:rPr>
        <w:t xml:space="preserve">, work-back agreements, workload arrangements, etc. </w:t>
      </w:r>
    </w:p>
    <w:p w14:paraId="39DE1E30" w14:textId="255096F1" w:rsidR="001B5369" w:rsidRDefault="005637D1" w:rsidP="002326D6">
      <w:pPr>
        <w:pStyle w:val="Heading2"/>
        <w:numPr>
          <w:ilvl w:val="0"/>
          <w:numId w:val="0"/>
        </w:numPr>
        <w:rPr>
          <w:lang w:val="en-ZA"/>
        </w:rPr>
      </w:pPr>
      <w:r>
        <w:rPr>
          <w:lang w:val="en-ZA"/>
        </w:rPr>
        <w:t>Family responsibility</w:t>
      </w:r>
      <w:r w:rsidR="00A244B4">
        <w:rPr>
          <w:lang w:val="en-ZA"/>
        </w:rPr>
        <w:t xml:space="preserve"> </w:t>
      </w:r>
      <w:proofErr w:type="gramStart"/>
      <w:r w:rsidR="00AD197C">
        <w:rPr>
          <w:lang w:val="en-ZA"/>
        </w:rPr>
        <w:t>leave</w:t>
      </w:r>
      <w:proofErr w:type="gramEnd"/>
      <w:r w:rsidR="00AD197C">
        <w:rPr>
          <w:lang w:val="en-ZA"/>
        </w:rPr>
        <w:t xml:space="preserve"> and </w:t>
      </w:r>
      <w:r w:rsidR="00833723">
        <w:rPr>
          <w:lang w:val="en-ZA"/>
        </w:rPr>
        <w:t>compassionate</w:t>
      </w:r>
      <w:r w:rsidR="001B5369">
        <w:rPr>
          <w:lang w:val="en-ZA"/>
        </w:rPr>
        <w:t xml:space="preserve"> leave</w:t>
      </w:r>
    </w:p>
    <w:p w14:paraId="1166D1A7" w14:textId="55E5983E" w:rsidR="001B5369" w:rsidRDefault="003629DD" w:rsidP="00CA2738">
      <w:pPr>
        <w:rPr>
          <w:lang w:val="en-ZA"/>
        </w:rPr>
      </w:pPr>
      <w:r w:rsidRPr="003629DD">
        <w:rPr>
          <w:lang w:val="en-ZA"/>
        </w:rPr>
        <w:t xml:space="preserve">Family </w:t>
      </w:r>
      <w:r>
        <w:rPr>
          <w:lang w:val="en-ZA"/>
        </w:rPr>
        <w:t>r</w:t>
      </w:r>
      <w:r w:rsidRPr="003629DD">
        <w:rPr>
          <w:lang w:val="en-ZA"/>
        </w:rPr>
        <w:t xml:space="preserve">esponsibility </w:t>
      </w:r>
      <w:r>
        <w:rPr>
          <w:lang w:val="en-ZA"/>
        </w:rPr>
        <w:t>l</w:t>
      </w:r>
      <w:r w:rsidRPr="003629DD">
        <w:rPr>
          <w:lang w:val="en-ZA"/>
        </w:rPr>
        <w:t xml:space="preserve">eave and </w:t>
      </w:r>
      <w:r>
        <w:rPr>
          <w:lang w:val="en-ZA"/>
        </w:rPr>
        <w:t>c</w:t>
      </w:r>
      <w:r w:rsidRPr="003629DD">
        <w:rPr>
          <w:lang w:val="en-ZA"/>
        </w:rPr>
        <w:t xml:space="preserve">ompassionate </w:t>
      </w:r>
      <w:r>
        <w:rPr>
          <w:lang w:val="en-ZA"/>
        </w:rPr>
        <w:t>l</w:t>
      </w:r>
      <w:r w:rsidRPr="003629DD">
        <w:rPr>
          <w:lang w:val="en-ZA"/>
        </w:rPr>
        <w:t xml:space="preserve">eave are types of leave that allow employees to take time off to manage serious personal or family-related matters. </w:t>
      </w:r>
      <w:r>
        <w:rPr>
          <w:lang w:val="en-ZA"/>
        </w:rPr>
        <w:t xml:space="preserve">Although the </w:t>
      </w:r>
      <w:r w:rsidRPr="003629DD">
        <w:rPr>
          <w:lang w:val="en-ZA"/>
        </w:rPr>
        <w:t xml:space="preserve">terms are sometimes used interchangeably, </w:t>
      </w:r>
      <w:r w:rsidR="00D90D74">
        <w:rPr>
          <w:lang w:val="en-ZA"/>
        </w:rPr>
        <w:t>f</w:t>
      </w:r>
      <w:r w:rsidRPr="003629DD">
        <w:rPr>
          <w:lang w:val="en-ZA"/>
        </w:rPr>
        <w:t xml:space="preserve">amily </w:t>
      </w:r>
      <w:r w:rsidR="00D90D74">
        <w:rPr>
          <w:lang w:val="en-ZA"/>
        </w:rPr>
        <w:t>r</w:t>
      </w:r>
      <w:r w:rsidRPr="003629DD">
        <w:rPr>
          <w:lang w:val="en-ZA"/>
        </w:rPr>
        <w:t xml:space="preserve">esponsibility </w:t>
      </w:r>
      <w:r w:rsidR="00D90D74">
        <w:rPr>
          <w:lang w:val="en-ZA"/>
        </w:rPr>
        <w:t>l</w:t>
      </w:r>
      <w:r w:rsidRPr="003629DD">
        <w:rPr>
          <w:lang w:val="en-ZA"/>
        </w:rPr>
        <w:t>eave</w:t>
      </w:r>
      <w:r w:rsidR="00D90D74">
        <w:rPr>
          <w:lang w:val="en-ZA"/>
        </w:rPr>
        <w:t xml:space="preserve"> usually </w:t>
      </w:r>
      <w:r w:rsidR="004A21EA">
        <w:rPr>
          <w:lang w:val="en-ZA"/>
        </w:rPr>
        <w:t>comprises</w:t>
      </w:r>
      <w:r w:rsidR="00D90D74">
        <w:rPr>
          <w:lang w:val="en-ZA"/>
        </w:rPr>
        <w:t xml:space="preserve"> caring responsibilities for close family members</w:t>
      </w:r>
      <w:r w:rsidR="00A021CB">
        <w:rPr>
          <w:lang w:val="en-ZA"/>
        </w:rPr>
        <w:t>, or</w:t>
      </w:r>
      <w:r w:rsidR="00D90D74">
        <w:rPr>
          <w:lang w:val="en-ZA"/>
        </w:rPr>
        <w:t xml:space="preserve"> dealing with emergencies, </w:t>
      </w:r>
      <w:r w:rsidR="00A021CB">
        <w:rPr>
          <w:lang w:val="en-ZA"/>
        </w:rPr>
        <w:t>while</w:t>
      </w:r>
      <w:r w:rsidR="002326D6">
        <w:rPr>
          <w:lang w:val="en-ZA"/>
        </w:rPr>
        <w:t xml:space="preserve"> </w:t>
      </w:r>
      <w:r w:rsidR="00A021CB">
        <w:rPr>
          <w:lang w:val="en-ZA"/>
        </w:rPr>
        <w:t>c</w:t>
      </w:r>
      <w:r w:rsidRPr="003629DD">
        <w:rPr>
          <w:lang w:val="en-ZA"/>
        </w:rPr>
        <w:t xml:space="preserve">ompassionate </w:t>
      </w:r>
      <w:r w:rsidR="00A021CB">
        <w:rPr>
          <w:lang w:val="en-ZA"/>
        </w:rPr>
        <w:t>l</w:t>
      </w:r>
      <w:r w:rsidRPr="003629DD">
        <w:rPr>
          <w:lang w:val="en-ZA"/>
        </w:rPr>
        <w:t>eave</w:t>
      </w:r>
      <w:r w:rsidR="00A021CB">
        <w:rPr>
          <w:lang w:val="en-ZA"/>
        </w:rPr>
        <w:t xml:space="preserve"> </w:t>
      </w:r>
      <w:r w:rsidRPr="003629DD">
        <w:rPr>
          <w:lang w:val="en-ZA"/>
        </w:rPr>
        <w:t>is generally provided when an employee needs time off due to</w:t>
      </w:r>
      <w:r w:rsidR="00A021CB">
        <w:rPr>
          <w:lang w:val="en-ZA"/>
        </w:rPr>
        <w:t xml:space="preserve"> t</w:t>
      </w:r>
      <w:r w:rsidRPr="003629DD">
        <w:rPr>
          <w:lang w:val="en-ZA"/>
        </w:rPr>
        <w:t>he death of a close family member</w:t>
      </w:r>
      <w:r w:rsidR="0079297D">
        <w:rPr>
          <w:lang w:val="en-ZA"/>
        </w:rPr>
        <w:t xml:space="preserve">, or </w:t>
      </w:r>
      <w:r w:rsidR="004A21EA">
        <w:rPr>
          <w:lang w:val="en-ZA"/>
        </w:rPr>
        <w:t xml:space="preserve">for </w:t>
      </w:r>
      <w:r w:rsidRPr="003629DD">
        <w:rPr>
          <w:lang w:val="en-ZA"/>
        </w:rPr>
        <w:t>attending funeral or memorial services</w:t>
      </w:r>
      <w:r w:rsidR="0079297D">
        <w:rPr>
          <w:lang w:val="en-ZA"/>
        </w:rPr>
        <w:t xml:space="preserve">. Such </w:t>
      </w:r>
      <w:r w:rsidR="00955748">
        <w:rPr>
          <w:lang w:val="en-ZA"/>
        </w:rPr>
        <w:t xml:space="preserve">leave </w:t>
      </w:r>
      <w:r w:rsidR="004A21EA">
        <w:rPr>
          <w:lang w:val="en-ZA"/>
        </w:rPr>
        <w:t xml:space="preserve">types </w:t>
      </w:r>
      <w:r w:rsidR="00955748">
        <w:rPr>
          <w:lang w:val="en-ZA"/>
        </w:rPr>
        <w:t>should include policy statements on</w:t>
      </w:r>
      <w:r w:rsidR="004A21EA">
        <w:rPr>
          <w:lang w:val="en-ZA"/>
        </w:rPr>
        <w:t xml:space="preserve"> the</w:t>
      </w:r>
      <w:r w:rsidR="00955748">
        <w:rPr>
          <w:lang w:val="en-ZA"/>
        </w:rPr>
        <w:t>:</w:t>
      </w:r>
    </w:p>
    <w:p w14:paraId="2D92B446" w14:textId="6E726F55" w:rsidR="00955748" w:rsidRDefault="004A21EA" w:rsidP="00D80C1E">
      <w:pPr>
        <w:pStyle w:val="ListParagraph"/>
        <w:numPr>
          <w:ilvl w:val="0"/>
          <w:numId w:val="10"/>
        </w:numPr>
        <w:rPr>
          <w:lang w:val="en-ZA"/>
        </w:rPr>
      </w:pPr>
      <w:r>
        <w:rPr>
          <w:lang w:val="en-ZA"/>
        </w:rPr>
        <w:t>C</w:t>
      </w:r>
      <w:r w:rsidR="00955748">
        <w:rPr>
          <w:lang w:val="en-ZA"/>
        </w:rPr>
        <w:t>onditions of family responsibility</w:t>
      </w:r>
      <w:r>
        <w:rPr>
          <w:lang w:val="en-ZA"/>
        </w:rPr>
        <w:t xml:space="preserve"> </w:t>
      </w:r>
      <w:r w:rsidR="00955748">
        <w:rPr>
          <w:lang w:val="en-ZA"/>
        </w:rPr>
        <w:t>/</w:t>
      </w:r>
      <w:r>
        <w:rPr>
          <w:lang w:val="en-ZA"/>
        </w:rPr>
        <w:t xml:space="preserve"> </w:t>
      </w:r>
      <w:r w:rsidR="00955748">
        <w:rPr>
          <w:lang w:val="en-ZA"/>
        </w:rPr>
        <w:t xml:space="preserve">compassionate leave, as well as eligibility criteria for </w:t>
      </w:r>
      <w:r w:rsidR="00F23433">
        <w:rPr>
          <w:lang w:val="en-ZA"/>
        </w:rPr>
        <w:t>each</w:t>
      </w:r>
      <w:r w:rsidR="00955748">
        <w:rPr>
          <w:lang w:val="en-ZA"/>
        </w:rPr>
        <w:t>.</w:t>
      </w:r>
    </w:p>
    <w:p w14:paraId="701AA22A" w14:textId="06A124FA" w:rsidR="00955748" w:rsidRDefault="004A21EA" w:rsidP="00D80C1E">
      <w:pPr>
        <w:pStyle w:val="ListParagraph"/>
        <w:numPr>
          <w:ilvl w:val="0"/>
          <w:numId w:val="10"/>
        </w:numPr>
        <w:rPr>
          <w:lang w:val="en-ZA"/>
        </w:rPr>
      </w:pPr>
      <w:r>
        <w:rPr>
          <w:lang w:val="en-ZA"/>
        </w:rPr>
        <w:t>N</w:t>
      </w:r>
      <w:r w:rsidR="00955748">
        <w:rPr>
          <w:lang w:val="en-ZA"/>
        </w:rPr>
        <w:t xml:space="preserve">umber of paid leave days allocated per leave cycle. </w:t>
      </w:r>
    </w:p>
    <w:p w14:paraId="48CC2310" w14:textId="2EF0828B" w:rsidR="00955748" w:rsidRDefault="004A21EA" w:rsidP="00D80C1E">
      <w:pPr>
        <w:pStyle w:val="ListParagraph"/>
        <w:numPr>
          <w:ilvl w:val="0"/>
          <w:numId w:val="10"/>
        </w:numPr>
        <w:rPr>
          <w:lang w:val="en-ZA"/>
        </w:rPr>
      </w:pPr>
      <w:r>
        <w:rPr>
          <w:lang w:val="en-ZA"/>
        </w:rPr>
        <w:t>Leave a</w:t>
      </w:r>
      <w:r w:rsidR="00955748">
        <w:rPr>
          <w:lang w:val="en-ZA"/>
        </w:rPr>
        <w:t xml:space="preserve">pplication and approval processes. </w:t>
      </w:r>
    </w:p>
    <w:p w14:paraId="545F5631" w14:textId="77777777" w:rsidR="00353853" w:rsidRDefault="00353853" w:rsidP="00353853">
      <w:pPr>
        <w:pStyle w:val="ListParagraph"/>
        <w:rPr>
          <w:lang w:val="en-ZA"/>
        </w:rPr>
      </w:pPr>
    </w:p>
    <w:p w14:paraId="6CEB96C8" w14:textId="20719317" w:rsidR="001B5369" w:rsidRDefault="005662FA" w:rsidP="00AD197C">
      <w:pPr>
        <w:pStyle w:val="Heading2"/>
        <w:numPr>
          <w:ilvl w:val="0"/>
          <w:numId w:val="0"/>
        </w:numPr>
        <w:spacing w:before="0" w:after="0"/>
        <w:ind w:left="432" w:hanging="432"/>
        <w:rPr>
          <w:lang w:val="en-ZA"/>
        </w:rPr>
      </w:pPr>
      <w:r>
        <w:rPr>
          <w:lang w:val="en-ZA"/>
        </w:rPr>
        <w:t>Unpaid leave</w:t>
      </w:r>
    </w:p>
    <w:p w14:paraId="3F4FD343" w14:textId="77777777" w:rsidR="00353853" w:rsidRDefault="00353853" w:rsidP="00CA2738"/>
    <w:p w14:paraId="578BBE69" w14:textId="6460D0F1" w:rsidR="005662FA" w:rsidRDefault="000257AE" w:rsidP="00CA2738">
      <w:pPr>
        <w:rPr>
          <w:lang w:val="en-ZA"/>
        </w:rPr>
      </w:pPr>
      <w:r w:rsidRPr="000257AE">
        <w:t xml:space="preserve">Unpaid leave is a </w:t>
      </w:r>
      <w:r w:rsidR="004A21EA">
        <w:t>form</w:t>
      </w:r>
      <w:r w:rsidR="004A21EA" w:rsidRPr="000257AE">
        <w:t xml:space="preserve"> </w:t>
      </w:r>
      <w:r w:rsidRPr="000257AE">
        <w:t xml:space="preserve">of absence from work where an employee is granted time off </w:t>
      </w:r>
      <w:r w:rsidR="004A21EA">
        <w:t xml:space="preserve">from work, where they do not </w:t>
      </w:r>
      <w:r w:rsidRPr="000257AE">
        <w:t>receiv</w:t>
      </w:r>
      <w:r w:rsidR="004A21EA">
        <w:t>e</w:t>
      </w:r>
      <w:r w:rsidRPr="000257AE">
        <w:t xml:space="preserve"> their regular salary </w:t>
      </w:r>
      <w:r w:rsidR="004A21EA">
        <w:t>for this period of leave</w:t>
      </w:r>
      <w:r w:rsidRPr="000257AE">
        <w:t>.</w:t>
      </w:r>
      <w:r w:rsidRPr="000257AE">
        <w:rPr>
          <w:lang w:val="en-ZA"/>
        </w:rPr>
        <w:t xml:space="preserve"> </w:t>
      </w:r>
      <w:r>
        <w:rPr>
          <w:lang w:val="en-ZA"/>
        </w:rPr>
        <w:t>Policy statements should</w:t>
      </w:r>
      <w:r w:rsidR="00F67529" w:rsidRPr="00F67529">
        <w:rPr>
          <w:lang w:val="en-ZA"/>
        </w:rPr>
        <w:t xml:space="preserve"> clearly outline the conditions under which unpaid leave may be granted, including the types of situations that qualify</w:t>
      </w:r>
      <w:r>
        <w:rPr>
          <w:lang w:val="en-ZA"/>
        </w:rPr>
        <w:t xml:space="preserve">, </w:t>
      </w:r>
      <w:r w:rsidR="00F67529" w:rsidRPr="00F67529">
        <w:rPr>
          <w:lang w:val="en-ZA"/>
        </w:rPr>
        <w:t>such as extended personal or family responsibilities, travel, further study, or when paid leave entitlements have been exhausted. The policy should specify the approval process, including who may authori</w:t>
      </w:r>
      <w:r w:rsidR="00092B3D">
        <w:rPr>
          <w:lang w:val="en-ZA"/>
        </w:rPr>
        <w:t>s</w:t>
      </w:r>
      <w:r w:rsidR="00F67529" w:rsidRPr="00F67529">
        <w:rPr>
          <w:lang w:val="en-ZA"/>
        </w:rPr>
        <w:t xml:space="preserve">e such leave and any documentation required. It should also address how unpaid leave affects employment status, including the suspension or adjustment of benefits such as pension contributions, medical aid, and leave accrual. </w:t>
      </w:r>
    </w:p>
    <w:p w14:paraId="3EC805EC" w14:textId="1A97FD56" w:rsidR="00C4014C" w:rsidRDefault="00C4014C">
      <w:pPr>
        <w:spacing w:after="200" w:line="276" w:lineRule="auto"/>
        <w:jc w:val="left"/>
        <w:rPr>
          <w:b/>
          <w:bCs/>
          <w:lang w:val="en-ZA"/>
        </w:rPr>
      </w:pPr>
      <w:r>
        <w:rPr>
          <w:b/>
          <w:bCs/>
          <w:lang w:val="en-ZA"/>
        </w:rPr>
        <w:br w:type="page"/>
      </w:r>
    </w:p>
    <w:p w14:paraId="53DE9479" w14:textId="5F91798D" w:rsidR="00C4014C" w:rsidRDefault="00C4014C" w:rsidP="00C4014C">
      <w:pPr>
        <w:pStyle w:val="Heading1"/>
      </w:pPr>
      <w:r>
        <w:lastRenderedPageBreak/>
        <w:t>Appendix D: Personal Development Plan template</w:t>
      </w:r>
    </w:p>
    <w:p w14:paraId="56CF745D" w14:textId="77777777" w:rsidR="002B0AE9" w:rsidRDefault="002B0AE9" w:rsidP="002B0AE9">
      <w:pPr>
        <w:rPr>
          <w:lang w:val="en-ZA"/>
        </w:rPr>
      </w:pPr>
    </w:p>
    <w:p w14:paraId="4AAF0B22" w14:textId="70DB4CAB" w:rsidR="002B0AE9" w:rsidRPr="002B0AE9" w:rsidRDefault="002B0AE9" w:rsidP="002B0AE9">
      <w:pPr>
        <w:rPr>
          <w:b/>
          <w:bCs/>
          <w:lang w:val="en-ZA"/>
        </w:rPr>
      </w:pPr>
      <w:r w:rsidRPr="002B0AE9">
        <w:rPr>
          <w:b/>
          <w:bCs/>
          <w:lang w:val="en-ZA"/>
        </w:rPr>
        <w:t>Name:</w:t>
      </w:r>
    </w:p>
    <w:p w14:paraId="6A1AFA1C" w14:textId="500C5718" w:rsidR="002B0AE9" w:rsidRDefault="002B0AE9" w:rsidP="002B0AE9">
      <w:pPr>
        <w:rPr>
          <w:b/>
          <w:bCs/>
          <w:lang w:val="en-ZA"/>
        </w:rPr>
      </w:pPr>
      <w:r w:rsidRPr="002B0AE9">
        <w:rPr>
          <w:b/>
          <w:bCs/>
          <w:lang w:val="en-ZA"/>
        </w:rPr>
        <w:t>Current position:</w:t>
      </w:r>
    </w:p>
    <w:p w14:paraId="4EDD2D17" w14:textId="6F7940DC" w:rsidR="00663006" w:rsidRPr="002B0AE9" w:rsidRDefault="00663006" w:rsidP="002B0AE9">
      <w:pPr>
        <w:rPr>
          <w:b/>
          <w:bCs/>
          <w:lang w:val="en-ZA"/>
        </w:rPr>
      </w:pPr>
      <w:r>
        <w:rPr>
          <w:b/>
          <w:bCs/>
          <w:lang w:val="en-ZA"/>
        </w:rPr>
        <w:t>Department/Faculty/School/Unit:</w:t>
      </w:r>
    </w:p>
    <w:p w14:paraId="4314F48A" w14:textId="2946F64E" w:rsidR="002B0AE9" w:rsidRDefault="002B0AE9" w:rsidP="002B0AE9">
      <w:pPr>
        <w:rPr>
          <w:b/>
          <w:bCs/>
          <w:lang w:val="en-ZA"/>
        </w:rPr>
      </w:pPr>
      <w:r w:rsidRPr="002B0AE9">
        <w:rPr>
          <w:b/>
          <w:bCs/>
          <w:lang w:val="en-ZA"/>
        </w:rPr>
        <w:t>Date:</w:t>
      </w:r>
    </w:p>
    <w:p w14:paraId="6CAF64F3" w14:textId="2C5A013E" w:rsidR="002B0AE9" w:rsidRDefault="007035E0" w:rsidP="002B0AE9">
      <w:pPr>
        <w:rPr>
          <w:b/>
          <w:bCs/>
          <w:lang w:val="en-ZA"/>
        </w:rPr>
      </w:pPr>
      <w:r>
        <w:rPr>
          <w:b/>
          <w:bCs/>
          <w:lang w:val="en-ZA"/>
        </w:rPr>
        <w:t xml:space="preserve">Name of </w:t>
      </w:r>
      <w:r w:rsidR="002B0AE9">
        <w:rPr>
          <w:b/>
          <w:bCs/>
          <w:lang w:val="en-ZA"/>
        </w:rPr>
        <w:t>HR professional supporting</w:t>
      </w:r>
      <w:r w:rsidR="00663006">
        <w:rPr>
          <w:b/>
          <w:bCs/>
          <w:lang w:val="en-ZA"/>
        </w:rPr>
        <w:t xml:space="preserve"> PDP development:</w:t>
      </w:r>
    </w:p>
    <w:p w14:paraId="1539613F" w14:textId="24AC3C5A" w:rsidR="00663006" w:rsidRDefault="00663006" w:rsidP="002B0AE9">
      <w:pPr>
        <w:rPr>
          <w:b/>
          <w:bCs/>
          <w:lang w:val="en-ZA"/>
        </w:rPr>
      </w:pPr>
      <w:r>
        <w:rPr>
          <w:b/>
          <w:bCs/>
          <w:lang w:val="en-ZA"/>
        </w:rPr>
        <w:t>Supervisor/manager:</w:t>
      </w:r>
    </w:p>
    <w:p w14:paraId="13541B13" w14:textId="63E479FB" w:rsidR="004C31EB" w:rsidRPr="002B0AE9" w:rsidRDefault="004C31EB" w:rsidP="002B0AE9">
      <w:pPr>
        <w:rPr>
          <w:b/>
          <w:bCs/>
          <w:lang w:val="en-ZA"/>
        </w:rPr>
      </w:pPr>
      <w:r>
        <w:rPr>
          <w:b/>
          <w:bCs/>
          <w:lang w:val="en-ZA"/>
        </w:rPr>
        <w:t xml:space="preserve">Revision date: </w:t>
      </w:r>
    </w:p>
    <w:p w14:paraId="30237CBD" w14:textId="079CA4D6" w:rsidR="00C4014C" w:rsidRDefault="00B70C16" w:rsidP="002326D6">
      <w:pPr>
        <w:pStyle w:val="Heading2"/>
        <w:numPr>
          <w:ilvl w:val="0"/>
          <w:numId w:val="0"/>
        </w:numPr>
        <w:rPr>
          <w:lang w:val="en-ZA"/>
        </w:rPr>
      </w:pPr>
      <w:r>
        <w:rPr>
          <w:lang w:val="en-ZA"/>
        </w:rPr>
        <w:t>Self-</w:t>
      </w:r>
      <w:r w:rsidR="007035E0">
        <w:t>r</w:t>
      </w:r>
      <w:r w:rsidRPr="002326D6">
        <w:t>eflection</w:t>
      </w:r>
    </w:p>
    <w:p w14:paraId="0A470FE8" w14:textId="5A4DA56C" w:rsidR="00B70C16" w:rsidRPr="003364C8" w:rsidRDefault="0016195C" w:rsidP="0016195C">
      <w:pPr>
        <w:pStyle w:val="ListParagraph"/>
        <w:numPr>
          <w:ilvl w:val="1"/>
          <w:numId w:val="5"/>
        </w:numPr>
        <w:rPr>
          <w:b/>
          <w:bCs/>
          <w:lang w:val="en-ZA"/>
        </w:rPr>
      </w:pPr>
      <w:r w:rsidRPr="003364C8">
        <w:rPr>
          <w:b/>
          <w:bCs/>
          <w:lang w:val="en-ZA"/>
        </w:rPr>
        <w:t>What aspects of my job do I like most?</w:t>
      </w:r>
    </w:p>
    <w:tbl>
      <w:tblPr>
        <w:tblStyle w:val="TableGrid"/>
        <w:tblW w:w="0" w:type="auto"/>
        <w:tblInd w:w="1440" w:type="dxa"/>
        <w:tblLook w:val="04A0" w:firstRow="1" w:lastRow="0" w:firstColumn="1" w:lastColumn="0" w:noHBand="0" w:noVBand="1"/>
      </w:tblPr>
      <w:tblGrid>
        <w:gridCol w:w="7576"/>
      </w:tblGrid>
      <w:tr w:rsidR="003364C8" w14:paraId="482FE18E" w14:textId="77777777" w:rsidTr="003364C8">
        <w:tc>
          <w:tcPr>
            <w:tcW w:w="9016" w:type="dxa"/>
          </w:tcPr>
          <w:p w14:paraId="65F5CC35" w14:textId="77777777" w:rsidR="003364C8" w:rsidRDefault="003364C8" w:rsidP="003364C8">
            <w:pPr>
              <w:rPr>
                <w:b/>
                <w:bCs/>
                <w:lang w:val="en-ZA"/>
              </w:rPr>
            </w:pPr>
          </w:p>
          <w:p w14:paraId="45FF5FDA" w14:textId="77777777" w:rsidR="003364C8" w:rsidRDefault="003364C8" w:rsidP="003364C8">
            <w:pPr>
              <w:rPr>
                <w:b/>
                <w:bCs/>
                <w:lang w:val="en-ZA"/>
              </w:rPr>
            </w:pPr>
          </w:p>
          <w:p w14:paraId="1DEDD5CD" w14:textId="77777777" w:rsidR="003364C8" w:rsidRDefault="003364C8" w:rsidP="003364C8">
            <w:pPr>
              <w:rPr>
                <w:b/>
                <w:bCs/>
                <w:lang w:val="en-ZA"/>
              </w:rPr>
            </w:pPr>
          </w:p>
        </w:tc>
      </w:tr>
    </w:tbl>
    <w:p w14:paraId="303738F2" w14:textId="5E8F6C51" w:rsidR="00371B73" w:rsidRPr="003364C8" w:rsidRDefault="00844741" w:rsidP="00371B73">
      <w:pPr>
        <w:rPr>
          <w:b/>
          <w:bCs/>
          <w:lang w:val="en-ZA"/>
        </w:rPr>
      </w:pPr>
      <w:r>
        <w:rPr>
          <w:b/>
          <w:bCs/>
          <w:lang w:val="en-ZA"/>
        </w:rPr>
        <w:tab/>
      </w:r>
      <w:r>
        <w:rPr>
          <w:b/>
          <w:bCs/>
          <w:lang w:val="en-ZA"/>
        </w:rPr>
        <w:tab/>
      </w:r>
    </w:p>
    <w:p w14:paraId="29A13139" w14:textId="5B2DB1BA" w:rsidR="00371B73" w:rsidRPr="003364C8" w:rsidRDefault="00371B73" w:rsidP="00371B73">
      <w:pPr>
        <w:pStyle w:val="ListParagraph"/>
        <w:numPr>
          <w:ilvl w:val="1"/>
          <w:numId w:val="5"/>
        </w:numPr>
        <w:rPr>
          <w:b/>
          <w:bCs/>
          <w:lang w:val="en-ZA"/>
        </w:rPr>
      </w:pPr>
      <w:r w:rsidRPr="003364C8">
        <w:rPr>
          <w:b/>
          <w:bCs/>
          <w:lang w:val="en-ZA"/>
        </w:rPr>
        <w:t xml:space="preserve">What unique abilities do I bring to </w:t>
      </w:r>
      <w:r w:rsidR="002F3DE9" w:rsidRPr="003364C8">
        <w:rPr>
          <w:b/>
          <w:bCs/>
          <w:lang w:val="en-ZA"/>
        </w:rPr>
        <w:t>my job?</w:t>
      </w:r>
    </w:p>
    <w:tbl>
      <w:tblPr>
        <w:tblStyle w:val="TableGrid"/>
        <w:tblW w:w="0" w:type="auto"/>
        <w:tblInd w:w="1440" w:type="dxa"/>
        <w:tblLook w:val="04A0" w:firstRow="1" w:lastRow="0" w:firstColumn="1" w:lastColumn="0" w:noHBand="0" w:noVBand="1"/>
      </w:tblPr>
      <w:tblGrid>
        <w:gridCol w:w="7576"/>
      </w:tblGrid>
      <w:tr w:rsidR="003364C8" w14:paraId="36B93131" w14:textId="77777777" w:rsidTr="003364C8">
        <w:tc>
          <w:tcPr>
            <w:tcW w:w="9016" w:type="dxa"/>
          </w:tcPr>
          <w:p w14:paraId="24014C69" w14:textId="77777777" w:rsidR="003364C8" w:rsidRDefault="003364C8" w:rsidP="003364C8">
            <w:pPr>
              <w:rPr>
                <w:b/>
                <w:bCs/>
                <w:lang w:val="en-ZA"/>
              </w:rPr>
            </w:pPr>
          </w:p>
          <w:p w14:paraId="1C1C188A" w14:textId="77777777" w:rsidR="003364C8" w:rsidRDefault="003364C8" w:rsidP="003364C8">
            <w:pPr>
              <w:rPr>
                <w:b/>
                <w:bCs/>
                <w:lang w:val="en-ZA"/>
              </w:rPr>
            </w:pPr>
          </w:p>
          <w:p w14:paraId="50F088B4" w14:textId="77777777" w:rsidR="003364C8" w:rsidRDefault="003364C8" w:rsidP="003364C8">
            <w:pPr>
              <w:rPr>
                <w:b/>
                <w:bCs/>
                <w:lang w:val="en-ZA"/>
              </w:rPr>
            </w:pPr>
          </w:p>
        </w:tc>
      </w:tr>
    </w:tbl>
    <w:p w14:paraId="696013FB" w14:textId="77777777" w:rsidR="002F3DE9" w:rsidRPr="003364C8" w:rsidRDefault="002F3DE9" w:rsidP="003364C8">
      <w:pPr>
        <w:ind w:left="1440"/>
        <w:rPr>
          <w:b/>
          <w:bCs/>
          <w:lang w:val="en-ZA"/>
        </w:rPr>
      </w:pPr>
    </w:p>
    <w:p w14:paraId="10485771" w14:textId="77777777" w:rsidR="002F3DE9" w:rsidRPr="003364C8" w:rsidRDefault="002F3DE9" w:rsidP="002F3DE9">
      <w:pPr>
        <w:pStyle w:val="ListParagraph"/>
        <w:numPr>
          <w:ilvl w:val="1"/>
          <w:numId w:val="5"/>
        </w:numPr>
        <w:rPr>
          <w:b/>
          <w:bCs/>
          <w:lang w:val="en-ZA"/>
        </w:rPr>
      </w:pPr>
      <w:r w:rsidRPr="003364C8">
        <w:rPr>
          <w:b/>
          <w:bCs/>
          <w:lang w:val="en-ZA"/>
        </w:rPr>
        <w:t xml:space="preserve">What opportunities would I like to pursue in the next 12 months? </w:t>
      </w:r>
    </w:p>
    <w:tbl>
      <w:tblPr>
        <w:tblStyle w:val="TableGrid"/>
        <w:tblW w:w="0" w:type="auto"/>
        <w:tblInd w:w="1440" w:type="dxa"/>
        <w:tblLook w:val="04A0" w:firstRow="1" w:lastRow="0" w:firstColumn="1" w:lastColumn="0" w:noHBand="0" w:noVBand="1"/>
      </w:tblPr>
      <w:tblGrid>
        <w:gridCol w:w="7576"/>
      </w:tblGrid>
      <w:tr w:rsidR="00844741" w14:paraId="58F74E3B" w14:textId="77777777" w:rsidTr="00844741">
        <w:tc>
          <w:tcPr>
            <w:tcW w:w="9016" w:type="dxa"/>
          </w:tcPr>
          <w:p w14:paraId="29079A7C" w14:textId="77777777" w:rsidR="00844741" w:rsidRDefault="00844741" w:rsidP="002F3DE9">
            <w:pPr>
              <w:pStyle w:val="ListParagraph"/>
              <w:ind w:left="0"/>
              <w:rPr>
                <w:b/>
                <w:bCs/>
                <w:lang w:val="en-ZA"/>
              </w:rPr>
            </w:pPr>
          </w:p>
          <w:p w14:paraId="56CBF656" w14:textId="77777777" w:rsidR="00844741" w:rsidRDefault="00844741" w:rsidP="002F3DE9">
            <w:pPr>
              <w:pStyle w:val="ListParagraph"/>
              <w:ind w:left="0"/>
              <w:rPr>
                <w:b/>
                <w:bCs/>
                <w:lang w:val="en-ZA"/>
              </w:rPr>
            </w:pPr>
          </w:p>
          <w:p w14:paraId="4EA988F0" w14:textId="77777777" w:rsidR="00844741" w:rsidRDefault="00844741" w:rsidP="002F3DE9">
            <w:pPr>
              <w:pStyle w:val="ListParagraph"/>
              <w:ind w:left="0"/>
              <w:rPr>
                <w:b/>
                <w:bCs/>
                <w:lang w:val="en-ZA"/>
              </w:rPr>
            </w:pPr>
          </w:p>
        </w:tc>
      </w:tr>
    </w:tbl>
    <w:p w14:paraId="74687C2E" w14:textId="77777777" w:rsidR="002F3DE9" w:rsidRDefault="002F3DE9" w:rsidP="002F3DE9">
      <w:pPr>
        <w:pStyle w:val="ListParagraph"/>
        <w:ind w:left="1440"/>
        <w:rPr>
          <w:b/>
          <w:bCs/>
          <w:lang w:val="en-ZA"/>
        </w:rPr>
      </w:pPr>
    </w:p>
    <w:p w14:paraId="62810B13" w14:textId="75BFAA55" w:rsidR="002F3DE9" w:rsidRDefault="002F3DE9" w:rsidP="002F3DE9">
      <w:pPr>
        <w:pStyle w:val="ListParagraph"/>
        <w:numPr>
          <w:ilvl w:val="1"/>
          <w:numId w:val="5"/>
        </w:numPr>
        <w:rPr>
          <w:b/>
          <w:bCs/>
          <w:lang w:val="en-ZA"/>
        </w:rPr>
      </w:pPr>
      <w:r w:rsidRPr="003364C8">
        <w:rPr>
          <w:b/>
          <w:bCs/>
          <w:lang w:val="en-ZA"/>
        </w:rPr>
        <w:t>What are my long-term career goals?</w:t>
      </w:r>
    </w:p>
    <w:tbl>
      <w:tblPr>
        <w:tblStyle w:val="TableGrid"/>
        <w:tblW w:w="0" w:type="auto"/>
        <w:tblInd w:w="1440" w:type="dxa"/>
        <w:tblLook w:val="04A0" w:firstRow="1" w:lastRow="0" w:firstColumn="1" w:lastColumn="0" w:noHBand="0" w:noVBand="1"/>
      </w:tblPr>
      <w:tblGrid>
        <w:gridCol w:w="7576"/>
      </w:tblGrid>
      <w:tr w:rsidR="00844741" w14:paraId="1C631BD5" w14:textId="77777777" w:rsidTr="00844741">
        <w:tc>
          <w:tcPr>
            <w:tcW w:w="9016" w:type="dxa"/>
          </w:tcPr>
          <w:p w14:paraId="20D74B77" w14:textId="77777777" w:rsidR="00844741" w:rsidRDefault="00844741" w:rsidP="00844741">
            <w:pPr>
              <w:pStyle w:val="ListParagraph"/>
              <w:ind w:left="0"/>
              <w:rPr>
                <w:b/>
                <w:bCs/>
                <w:lang w:val="en-ZA"/>
              </w:rPr>
            </w:pPr>
          </w:p>
          <w:p w14:paraId="2DA19EE2" w14:textId="77777777" w:rsidR="00844741" w:rsidRDefault="00844741" w:rsidP="00844741">
            <w:pPr>
              <w:pStyle w:val="ListParagraph"/>
              <w:ind w:left="0"/>
              <w:rPr>
                <w:b/>
                <w:bCs/>
                <w:lang w:val="en-ZA"/>
              </w:rPr>
            </w:pPr>
          </w:p>
          <w:p w14:paraId="7A1F433B" w14:textId="77777777" w:rsidR="00844741" w:rsidRDefault="00844741" w:rsidP="00844741">
            <w:pPr>
              <w:pStyle w:val="ListParagraph"/>
              <w:ind w:left="0"/>
              <w:rPr>
                <w:b/>
                <w:bCs/>
                <w:lang w:val="en-ZA"/>
              </w:rPr>
            </w:pPr>
          </w:p>
        </w:tc>
      </w:tr>
    </w:tbl>
    <w:p w14:paraId="58571A62" w14:textId="137AB4CA" w:rsidR="00B70C16" w:rsidRDefault="00276E8A" w:rsidP="002326D6">
      <w:pPr>
        <w:pStyle w:val="Heading2"/>
        <w:numPr>
          <w:ilvl w:val="0"/>
          <w:numId w:val="0"/>
        </w:numPr>
        <w:rPr>
          <w:lang w:val="en-ZA"/>
        </w:rPr>
      </w:pPr>
      <w:proofErr w:type="gramStart"/>
      <w:r>
        <w:rPr>
          <w:lang w:val="en-ZA"/>
        </w:rPr>
        <w:t>Goal-</w:t>
      </w:r>
      <w:r w:rsidRPr="002326D6">
        <w:t>setting</w:t>
      </w:r>
      <w:proofErr w:type="gramEnd"/>
    </w:p>
    <w:tbl>
      <w:tblPr>
        <w:tblStyle w:val="TableGrid"/>
        <w:tblW w:w="9351" w:type="dxa"/>
        <w:tblLook w:val="04A0" w:firstRow="1" w:lastRow="0" w:firstColumn="1" w:lastColumn="0" w:noHBand="0" w:noVBand="1"/>
      </w:tblPr>
      <w:tblGrid>
        <w:gridCol w:w="1870"/>
        <w:gridCol w:w="1870"/>
        <w:gridCol w:w="1870"/>
        <w:gridCol w:w="1870"/>
        <w:gridCol w:w="1871"/>
      </w:tblGrid>
      <w:tr w:rsidR="00C9750E" w14:paraId="2AF9DE25" w14:textId="77777777" w:rsidTr="00C9750E">
        <w:tc>
          <w:tcPr>
            <w:tcW w:w="1870" w:type="dxa"/>
          </w:tcPr>
          <w:p w14:paraId="37C48BF9" w14:textId="64B1AF95" w:rsidR="00C9750E" w:rsidRDefault="00C9750E" w:rsidP="00C9750E">
            <w:pPr>
              <w:jc w:val="left"/>
              <w:rPr>
                <w:b/>
                <w:bCs/>
                <w:lang w:val="en-ZA"/>
              </w:rPr>
            </w:pPr>
            <w:r>
              <w:rPr>
                <w:b/>
                <w:bCs/>
                <w:lang w:val="en-ZA"/>
              </w:rPr>
              <w:t>Goal</w:t>
            </w:r>
          </w:p>
        </w:tc>
        <w:tc>
          <w:tcPr>
            <w:tcW w:w="1870" w:type="dxa"/>
          </w:tcPr>
          <w:p w14:paraId="0A3A97EB" w14:textId="39504FE6" w:rsidR="00C9750E" w:rsidRDefault="00C9750E" w:rsidP="00C9750E">
            <w:pPr>
              <w:jc w:val="left"/>
              <w:rPr>
                <w:b/>
                <w:bCs/>
                <w:lang w:val="en-ZA"/>
              </w:rPr>
            </w:pPr>
            <w:r>
              <w:rPr>
                <w:b/>
                <w:bCs/>
                <w:lang w:val="en-ZA"/>
              </w:rPr>
              <w:t>Development opportunity to meet goals</w:t>
            </w:r>
          </w:p>
        </w:tc>
        <w:tc>
          <w:tcPr>
            <w:tcW w:w="1870" w:type="dxa"/>
          </w:tcPr>
          <w:p w14:paraId="04E2B84A" w14:textId="3AAEA64F" w:rsidR="00C9750E" w:rsidRDefault="00C9750E" w:rsidP="00C9750E">
            <w:pPr>
              <w:jc w:val="left"/>
              <w:rPr>
                <w:b/>
                <w:bCs/>
                <w:lang w:val="en-ZA"/>
              </w:rPr>
            </w:pPr>
            <w:r>
              <w:rPr>
                <w:b/>
                <w:bCs/>
                <w:lang w:val="en-ZA"/>
              </w:rPr>
              <w:t>Resources and support needs</w:t>
            </w:r>
          </w:p>
        </w:tc>
        <w:tc>
          <w:tcPr>
            <w:tcW w:w="1870" w:type="dxa"/>
          </w:tcPr>
          <w:p w14:paraId="08C49EEA" w14:textId="5C831C9B" w:rsidR="00C9750E" w:rsidRDefault="00C9750E" w:rsidP="00C9750E">
            <w:pPr>
              <w:jc w:val="left"/>
              <w:rPr>
                <w:b/>
                <w:bCs/>
                <w:lang w:val="en-ZA"/>
              </w:rPr>
            </w:pPr>
            <w:r>
              <w:rPr>
                <w:b/>
                <w:bCs/>
                <w:lang w:val="en-ZA"/>
              </w:rPr>
              <w:t>What success looks like</w:t>
            </w:r>
          </w:p>
        </w:tc>
        <w:tc>
          <w:tcPr>
            <w:tcW w:w="1871" w:type="dxa"/>
          </w:tcPr>
          <w:p w14:paraId="7A113B0A" w14:textId="3127CC9F" w:rsidR="00C9750E" w:rsidRDefault="00C9750E" w:rsidP="00C9750E">
            <w:pPr>
              <w:jc w:val="left"/>
              <w:rPr>
                <w:b/>
                <w:bCs/>
                <w:lang w:val="en-ZA"/>
              </w:rPr>
            </w:pPr>
            <w:r>
              <w:rPr>
                <w:b/>
                <w:bCs/>
                <w:lang w:val="en-ZA"/>
              </w:rPr>
              <w:t>Target date for completion</w:t>
            </w:r>
          </w:p>
        </w:tc>
      </w:tr>
      <w:tr w:rsidR="00C9750E" w:rsidRPr="004E49A8" w14:paraId="04635C19" w14:textId="77777777" w:rsidTr="00C9750E">
        <w:tc>
          <w:tcPr>
            <w:tcW w:w="1870" w:type="dxa"/>
          </w:tcPr>
          <w:p w14:paraId="30260D2B" w14:textId="0FD5A837" w:rsidR="00C9750E" w:rsidRPr="004E49A8" w:rsidRDefault="00E12761" w:rsidP="00C9750E">
            <w:pPr>
              <w:jc w:val="left"/>
              <w:rPr>
                <w:lang w:val="en-ZA"/>
              </w:rPr>
            </w:pPr>
            <w:r w:rsidRPr="004E49A8">
              <w:rPr>
                <w:lang w:val="en-ZA"/>
              </w:rPr>
              <w:t xml:space="preserve">List of key personal and professional goals the staff member </w:t>
            </w:r>
            <w:r w:rsidR="007035E0">
              <w:rPr>
                <w:lang w:val="en-ZA"/>
              </w:rPr>
              <w:t>wishes</w:t>
            </w:r>
            <w:r w:rsidR="007035E0" w:rsidRPr="004E49A8">
              <w:rPr>
                <w:lang w:val="en-ZA"/>
              </w:rPr>
              <w:t xml:space="preserve"> </w:t>
            </w:r>
            <w:r w:rsidRPr="004E49A8">
              <w:rPr>
                <w:lang w:val="en-ZA"/>
              </w:rPr>
              <w:t>to achieve in the next X months/</w:t>
            </w:r>
            <w:r w:rsidR="007035E0">
              <w:rPr>
                <w:lang w:val="en-ZA"/>
              </w:rPr>
              <w:br/>
            </w:r>
            <w:r w:rsidRPr="004E49A8">
              <w:rPr>
                <w:lang w:val="en-ZA"/>
              </w:rPr>
              <w:t xml:space="preserve">years. </w:t>
            </w:r>
          </w:p>
        </w:tc>
        <w:tc>
          <w:tcPr>
            <w:tcW w:w="1870" w:type="dxa"/>
          </w:tcPr>
          <w:p w14:paraId="3ED3F746" w14:textId="02634B5E" w:rsidR="00C9750E" w:rsidRPr="004E49A8" w:rsidRDefault="00E12761" w:rsidP="00C9750E">
            <w:pPr>
              <w:jc w:val="left"/>
              <w:rPr>
                <w:lang w:val="en-ZA"/>
              </w:rPr>
            </w:pPr>
            <w:r w:rsidRPr="004E49A8">
              <w:rPr>
                <w:lang w:val="en-ZA"/>
              </w:rPr>
              <w:t xml:space="preserve">What actions will be taken </w:t>
            </w:r>
            <w:r w:rsidR="007B11B1" w:rsidRPr="004E49A8">
              <w:rPr>
                <w:lang w:val="en-ZA"/>
              </w:rPr>
              <w:t>in pursuit of goals?</w:t>
            </w:r>
          </w:p>
        </w:tc>
        <w:tc>
          <w:tcPr>
            <w:tcW w:w="1870" w:type="dxa"/>
          </w:tcPr>
          <w:p w14:paraId="64C20B4C" w14:textId="332B4DA2" w:rsidR="00C9750E" w:rsidRPr="004E49A8" w:rsidRDefault="007B11B1" w:rsidP="00C9750E">
            <w:pPr>
              <w:jc w:val="left"/>
              <w:rPr>
                <w:lang w:val="en-ZA"/>
              </w:rPr>
            </w:pPr>
            <w:r w:rsidRPr="004E49A8">
              <w:rPr>
                <w:lang w:val="en-ZA"/>
              </w:rPr>
              <w:t>What resources and support would be needed?</w:t>
            </w:r>
          </w:p>
        </w:tc>
        <w:tc>
          <w:tcPr>
            <w:tcW w:w="1870" w:type="dxa"/>
          </w:tcPr>
          <w:p w14:paraId="03385EC5" w14:textId="2CC4EAFE" w:rsidR="00C9750E" w:rsidRPr="004E49A8" w:rsidRDefault="004E49A8" w:rsidP="00C9750E">
            <w:pPr>
              <w:jc w:val="left"/>
              <w:rPr>
                <w:lang w:val="en-ZA"/>
              </w:rPr>
            </w:pPr>
            <w:r w:rsidRPr="004E49A8">
              <w:rPr>
                <w:lang w:val="en-ZA"/>
              </w:rPr>
              <w:t>What evidence will there be of success in reaching/ pursuing goals?</w:t>
            </w:r>
          </w:p>
        </w:tc>
        <w:tc>
          <w:tcPr>
            <w:tcW w:w="1871" w:type="dxa"/>
          </w:tcPr>
          <w:p w14:paraId="24985E38" w14:textId="6BC4C51A" w:rsidR="00C9750E" w:rsidRPr="004E49A8" w:rsidRDefault="007035E0" w:rsidP="00C9750E">
            <w:pPr>
              <w:jc w:val="left"/>
              <w:rPr>
                <w:lang w:val="en-ZA"/>
              </w:rPr>
            </w:pPr>
            <w:r>
              <w:rPr>
                <w:lang w:val="en-ZA"/>
              </w:rPr>
              <w:t>By w</w:t>
            </w:r>
            <w:r w:rsidR="004E49A8" w:rsidRPr="004E49A8">
              <w:rPr>
                <w:lang w:val="en-ZA"/>
              </w:rPr>
              <w:t>hat dates should goals be completed?</w:t>
            </w:r>
          </w:p>
        </w:tc>
      </w:tr>
    </w:tbl>
    <w:p w14:paraId="57CC75CF" w14:textId="40CD464D" w:rsidR="00CA1253" w:rsidRDefault="00CA1253" w:rsidP="00CA2738">
      <w:pPr>
        <w:jc w:val="left"/>
        <w:rPr>
          <w:b/>
          <w:bCs/>
          <w:lang w:val="en-ZA"/>
        </w:rPr>
      </w:pPr>
      <w:r>
        <w:rPr>
          <w:b/>
          <w:bCs/>
          <w:lang w:val="en-ZA"/>
        </w:rPr>
        <w:br w:type="page"/>
      </w:r>
    </w:p>
    <w:p w14:paraId="1E0ECE25" w14:textId="65EB6484" w:rsidR="00444A76" w:rsidRDefault="00A71258" w:rsidP="00CA2738">
      <w:pPr>
        <w:pStyle w:val="Heading1"/>
      </w:pPr>
      <w:r>
        <w:lastRenderedPageBreak/>
        <w:t xml:space="preserve">Appendix </w:t>
      </w:r>
      <w:r w:rsidR="00FC077A">
        <w:t>E</w:t>
      </w:r>
      <w:r>
        <w:t>: P</w:t>
      </w:r>
      <w:r w:rsidRPr="00AF4BE6">
        <w:t xml:space="preserve">erformance </w:t>
      </w:r>
      <w:r>
        <w:t>M</w:t>
      </w:r>
      <w:r w:rsidRPr="00AF4BE6">
        <w:t xml:space="preserve">anagement </w:t>
      </w:r>
      <w:r>
        <w:t>P</w:t>
      </w:r>
      <w:r w:rsidRPr="00AF4BE6">
        <w:t>olicy template</w:t>
      </w:r>
    </w:p>
    <w:p w14:paraId="2DFAC386" w14:textId="77777777" w:rsidR="00444A76" w:rsidRDefault="00444A76" w:rsidP="00CA2738">
      <w:pPr>
        <w:rPr>
          <w:b/>
          <w:bCs/>
          <w:lang w:val="en-ZA"/>
        </w:rPr>
      </w:pPr>
    </w:p>
    <w:p w14:paraId="7157EB7C" w14:textId="1F714166" w:rsidR="000817CA" w:rsidRDefault="000817CA" w:rsidP="00CA2738">
      <w:pPr>
        <w:rPr>
          <w:lang w:val="en-ZA"/>
        </w:rPr>
      </w:pPr>
      <w:r>
        <w:rPr>
          <w:lang w:val="en-ZA"/>
        </w:rPr>
        <w:t xml:space="preserve">Initial headings will be determined by individual institutions, but </w:t>
      </w:r>
      <w:r w:rsidR="00470932">
        <w:rPr>
          <w:lang w:val="en-ZA"/>
        </w:rPr>
        <w:t xml:space="preserve">will </w:t>
      </w:r>
      <w:r>
        <w:rPr>
          <w:lang w:val="en-ZA"/>
        </w:rPr>
        <w:t xml:space="preserve">typically include </w:t>
      </w:r>
      <w:r w:rsidR="007035E0">
        <w:rPr>
          <w:lang w:val="en-ZA"/>
        </w:rPr>
        <w:t xml:space="preserve">the following </w:t>
      </w:r>
      <w:r>
        <w:rPr>
          <w:lang w:val="en-ZA"/>
        </w:rPr>
        <w:t>sections:</w:t>
      </w:r>
    </w:p>
    <w:p w14:paraId="5F2044FF" w14:textId="323BA29B" w:rsidR="000817CA" w:rsidRPr="000817CA" w:rsidRDefault="000B0DD6" w:rsidP="00D80C1E">
      <w:pPr>
        <w:pStyle w:val="ListParagraph"/>
        <w:numPr>
          <w:ilvl w:val="0"/>
          <w:numId w:val="24"/>
        </w:numPr>
        <w:rPr>
          <w:lang w:val="en-ZA"/>
        </w:rPr>
      </w:pPr>
      <w:r>
        <w:rPr>
          <w:b/>
          <w:bCs/>
          <w:lang w:val="en-ZA"/>
        </w:rPr>
        <w:t>Introduction/</w:t>
      </w:r>
      <w:r w:rsidR="000817CA" w:rsidRPr="007D28A8">
        <w:rPr>
          <w:b/>
          <w:bCs/>
          <w:lang w:val="en-ZA"/>
        </w:rPr>
        <w:t>Background</w:t>
      </w:r>
      <w:r w:rsidR="000817CA">
        <w:rPr>
          <w:lang w:val="en-ZA"/>
        </w:rPr>
        <w:t xml:space="preserve">: </w:t>
      </w:r>
      <w:r>
        <w:rPr>
          <w:lang w:val="en-ZA"/>
        </w:rPr>
        <w:t xml:space="preserve">The introduction </w:t>
      </w:r>
      <w:r w:rsidR="00A10283">
        <w:rPr>
          <w:lang w:val="en-ZA"/>
        </w:rPr>
        <w:t xml:space="preserve">states the </w:t>
      </w:r>
      <w:r w:rsidR="000817CA" w:rsidRPr="000817CA">
        <w:rPr>
          <w:lang w:val="en-ZA"/>
        </w:rPr>
        <w:t xml:space="preserve">objective of the Performance Management </w:t>
      </w:r>
      <w:r w:rsidR="00A10283">
        <w:rPr>
          <w:lang w:val="en-ZA"/>
        </w:rPr>
        <w:t>(PM) p</w:t>
      </w:r>
      <w:r w:rsidR="00CE671C">
        <w:rPr>
          <w:lang w:val="en-ZA"/>
        </w:rPr>
        <w:t>olicy</w:t>
      </w:r>
      <w:r w:rsidR="00EB21AB">
        <w:rPr>
          <w:lang w:val="en-ZA"/>
        </w:rPr>
        <w:t xml:space="preserve"> and </w:t>
      </w:r>
      <w:r w:rsidR="00D52CA1">
        <w:rPr>
          <w:lang w:val="en-ZA"/>
        </w:rPr>
        <w:t xml:space="preserve">positions PM within institutional priorities. </w:t>
      </w:r>
      <w:r w:rsidR="0008357E">
        <w:rPr>
          <w:lang w:val="en-ZA"/>
        </w:rPr>
        <w:t xml:space="preserve">Typically, objectives will include ensuring </w:t>
      </w:r>
      <w:r w:rsidR="001129C7">
        <w:rPr>
          <w:lang w:val="en-ZA"/>
        </w:rPr>
        <w:t xml:space="preserve">alignment between staff capacity and institutional strategic goals, </w:t>
      </w:r>
      <w:r w:rsidR="009D1451">
        <w:rPr>
          <w:lang w:val="en-ZA"/>
        </w:rPr>
        <w:t>guiding personal and professional development, and rewarding excellence.</w:t>
      </w:r>
    </w:p>
    <w:p w14:paraId="1244A5D5" w14:textId="4C2DC680" w:rsidR="00B6267B" w:rsidRDefault="000817CA" w:rsidP="00D80C1E">
      <w:pPr>
        <w:pStyle w:val="ListParagraph"/>
        <w:numPr>
          <w:ilvl w:val="0"/>
          <w:numId w:val="24"/>
        </w:numPr>
      </w:pPr>
      <w:r w:rsidRPr="392682D4">
        <w:rPr>
          <w:b/>
          <w:bCs/>
        </w:rPr>
        <w:t>Definitions</w:t>
      </w:r>
      <w:r w:rsidRPr="392682D4">
        <w:t xml:space="preserve">: </w:t>
      </w:r>
      <w:r w:rsidR="009D1451" w:rsidRPr="392682D4">
        <w:t xml:space="preserve">Key terms related to PM </w:t>
      </w:r>
      <w:r w:rsidR="00412137" w:rsidRPr="392682D4">
        <w:t xml:space="preserve">include </w:t>
      </w:r>
      <w:r w:rsidRPr="392682D4">
        <w:t>performance assessment, competency</w:t>
      </w:r>
      <w:r w:rsidR="009D2655">
        <w:t xml:space="preserve">, </w:t>
      </w:r>
      <w:r w:rsidR="00412137" w:rsidRPr="392682D4">
        <w:t>competency framework</w:t>
      </w:r>
      <w:r w:rsidRPr="392682D4">
        <w:t>, department, development, Key Performance Area (KPA), Key Performance Indicator (KPI), manager/supervisor, performance, Personal Development Plan</w:t>
      </w:r>
      <w:r w:rsidR="00B6267B" w:rsidRPr="392682D4">
        <w:t xml:space="preserve"> (PDP), </w:t>
      </w:r>
      <w:r w:rsidR="00465332" w:rsidRPr="392682D4">
        <w:t>p</w:t>
      </w:r>
      <w:r w:rsidRPr="392682D4">
        <w:t xml:space="preserve">erformance </w:t>
      </w:r>
      <w:r w:rsidR="00465332" w:rsidRPr="392682D4">
        <w:t>m</w:t>
      </w:r>
      <w:r w:rsidRPr="392682D4">
        <w:t>anagement</w:t>
      </w:r>
      <w:r w:rsidR="00B6267B" w:rsidRPr="392682D4">
        <w:t xml:space="preserve">, </w:t>
      </w:r>
      <w:r w:rsidR="00465332" w:rsidRPr="392682D4">
        <w:t xml:space="preserve">and </w:t>
      </w:r>
      <w:r w:rsidR="00B6267B" w:rsidRPr="392682D4">
        <w:t>p</w:t>
      </w:r>
      <w:r w:rsidRPr="392682D4">
        <w:t>erformance management cycle</w:t>
      </w:r>
      <w:r w:rsidR="00B6267B" w:rsidRPr="392682D4">
        <w:t>.</w:t>
      </w:r>
      <w:r w:rsidR="002326D6">
        <w:t xml:space="preserve"> </w:t>
      </w:r>
    </w:p>
    <w:p w14:paraId="50DFDF1E" w14:textId="44CDC206" w:rsidR="000817CA" w:rsidRPr="00B6267B" w:rsidRDefault="000817CA" w:rsidP="00D80C1E">
      <w:pPr>
        <w:pStyle w:val="ListParagraph"/>
        <w:numPr>
          <w:ilvl w:val="0"/>
          <w:numId w:val="24"/>
        </w:numPr>
        <w:rPr>
          <w:lang w:val="en-ZA"/>
        </w:rPr>
      </w:pPr>
      <w:r w:rsidRPr="00B6267B">
        <w:rPr>
          <w:b/>
          <w:bCs/>
          <w:lang w:val="en-ZA"/>
        </w:rPr>
        <w:t>Scope</w:t>
      </w:r>
      <w:r w:rsidRPr="00B6267B">
        <w:rPr>
          <w:lang w:val="en-ZA"/>
        </w:rPr>
        <w:t xml:space="preserve">: The scope of the policy stipulates the intended audience to which the policy </w:t>
      </w:r>
      <w:r w:rsidR="00735049">
        <w:rPr>
          <w:lang w:val="en-ZA"/>
        </w:rPr>
        <w:t>applies</w:t>
      </w:r>
      <w:r w:rsidRPr="00B6267B">
        <w:rPr>
          <w:lang w:val="en-ZA"/>
        </w:rPr>
        <w:t xml:space="preserve">. </w:t>
      </w:r>
      <w:r w:rsidR="00B6267B" w:rsidRPr="00B6267B">
        <w:rPr>
          <w:lang w:val="en-ZA"/>
        </w:rPr>
        <w:t>The PM policy will</w:t>
      </w:r>
      <w:r w:rsidR="00642F12">
        <w:rPr>
          <w:lang w:val="en-ZA"/>
        </w:rPr>
        <w:t xml:space="preserve"> typically</w:t>
      </w:r>
      <w:r w:rsidR="00B6267B" w:rsidRPr="00B6267B">
        <w:rPr>
          <w:lang w:val="en-ZA"/>
        </w:rPr>
        <w:t xml:space="preserve"> apply to all </w:t>
      </w:r>
      <w:r w:rsidR="004C3B1D">
        <w:rPr>
          <w:lang w:val="en-ZA"/>
        </w:rPr>
        <w:t>full-time and part-time staf</w:t>
      </w:r>
      <w:r w:rsidR="00782518">
        <w:rPr>
          <w:lang w:val="en-ZA"/>
        </w:rPr>
        <w:t xml:space="preserve">f (excluding short-term contractual staff). </w:t>
      </w:r>
    </w:p>
    <w:p w14:paraId="377F742A" w14:textId="637F4687" w:rsidR="000817CA" w:rsidRPr="00123235" w:rsidRDefault="000817CA" w:rsidP="00D80C1E">
      <w:pPr>
        <w:pStyle w:val="ListParagraph"/>
        <w:numPr>
          <w:ilvl w:val="0"/>
          <w:numId w:val="24"/>
        </w:numPr>
        <w:rPr>
          <w:lang w:val="en-ZA"/>
        </w:rPr>
      </w:pPr>
      <w:r w:rsidRPr="00123235">
        <w:rPr>
          <w:b/>
          <w:bCs/>
          <w:lang w:val="en-ZA"/>
        </w:rPr>
        <w:t>Principles</w:t>
      </w:r>
      <w:r w:rsidRPr="00123235">
        <w:rPr>
          <w:lang w:val="en-ZA"/>
        </w:rPr>
        <w:t>: Institutions typically list a set of principles that the policy statements are based on. These might include</w:t>
      </w:r>
      <w:r>
        <w:rPr>
          <w:lang w:val="en-ZA"/>
        </w:rPr>
        <w:t xml:space="preserve"> </w:t>
      </w:r>
      <w:r w:rsidRPr="00123235">
        <w:rPr>
          <w:lang w:val="en-ZA"/>
        </w:rPr>
        <w:t>compliance with legislation and institutional statutes,</w:t>
      </w:r>
      <w:r w:rsidR="00901D21">
        <w:rPr>
          <w:lang w:val="en-ZA"/>
        </w:rPr>
        <w:t xml:space="preserve"> as well as providing statements based on the institution</w:t>
      </w:r>
      <w:r w:rsidR="00735049">
        <w:rPr>
          <w:lang w:val="en-ZA"/>
        </w:rPr>
        <w:t>’</w:t>
      </w:r>
      <w:r w:rsidR="00901D21">
        <w:rPr>
          <w:lang w:val="en-ZA"/>
        </w:rPr>
        <w:t>s values and strategic mission</w:t>
      </w:r>
      <w:r>
        <w:rPr>
          <w:lang w:val="en-ZA"/>
        </w:rPr>
        <w:t>.</w:t>
      </w:r>
      <w:r w:rsidR="00F71907">
        <w:rPr>
          <w:lang w:val="en-ZA"/>
        </w:rPr>
        <w:t xml:space="preserve"> In the context of PM, </w:t>
      </w:r>
      <w:r w:rsidR="006E716D">
        <w:rPr>
          <w:lang w:val="en-ZA"/>
        </w:rPr>
        <w:t xml:space="preserve">principles might include an emphasis on fairness, equity, </w:t>
      </w:r>
      <w:r w:rsidR="005C455C">
        <w:rPr>
          <w:lang w:val="en-ZA"/>
        </w:rPr>
        <w:t xml:space="preserve">accountability, personal and professional development, recognition, and ensuring that human capacity supports strategic goals. </w:t>
      </w:r>
    </w:p>
    <w:p w14:paraId="2F98492C" w14:textId="6863C42F" w:rsidR="000817CA" w:rsidRDefault="000817CA" w:rsidP="00D80C1E">
      <w:pPr>
        <w:pStyle w:val="ListParagraph"/>
        <w:numPr>
          <w:ilvl w:val="0"/>
          <w:numId w:val="24"/>
        </w:numPr>
        <w:rPr>
          <w:lang w:val="en-ZA"/>
        </w:rPr>
      </w:pPr>
      <w:r w:rsidRPr="00B55962">
        <w:rPr>
          <w:b/>
          <w:bCs/>
          <w:lang w:val="en-ZA"/>
        </w:rPr>
        <w:t>Policy alignment</w:t>
      </w:r>
      <w:r>
        <w:rPr>
          <w:lang w:val="en-ZA"/>
        </w:rPr>
        <w:t xml:space="preserve">: Listing relevant policies or guiding documents that need to be read alongside the </w:t>
      </w:r>
      <w:r w:rsidR="009D2655">
        <w:rPr>
          <w:lang w:val="en-ZA"/>
        </w:rPr>
        <w:t>performance management</w:t>
      </w:r>
      <w:r>
        <w:rPr>
          <w:lang w:val="en-ZA"/>
        </w:rPr>
        <w:t xml:space="preserve"> policy. </w:t>
      </w:r>
    </w:p>
    <w:p w14:paraId="68C3AEBF" w14:textId="77777777" w:rsidR="00C05201" w:rsidRDefault="00C05201" w:rsidP="00CA2738">
      <w:pPr>
        <w:rPr>
          <w:lang w:val="en-ZA"/>
        </w:rPr>
      </w:pPr>
    </w:p>
    <w:p w14:paraId="4886AAEC" w14:textId="30899E39" w:rsidR="000817CA" w:rsidRDefault="0010088E" w:rsidP="00CA2738">
      <w:pPr>
        <w:rPr>
          <w:lang w:val="en-ZA"/>
        </w:rPr>
      </w:pPr>
      <w:r>
        <w:rPr>
          <w:lang w:val="en-ZA"/>
        </w:rPr>
        <w:t xml:space="preserve">The following headings can </w:t>
      </w:r>
      <w:r w:rsidR="00735049">
        <w:rPr>
          <w:lang w:val="en-ZA"/>
        </w:rPr>
        <w:t xml:space="preserve">be used to </w:t>
      </w:r>
      <w:r>
        <w:rPr>
          <w:lang w:val="en-ZA"/>
        </w:rPr>
        <w:t>guide PM p</w:t>
      </w:r>
      <w:r w:rsidR="00C05201">
        <w:rPr>
          <w:lang w:val="en-ZA"/>
        </w:rPr>
        <w:t>olicy statements</w:t>
      </w:r>
      <w:r w:rsidR="00816876">
        <w:rPr>
          <w:lang w:val="en-ZA"/>
        </w:rPr>
        <w:t xml:space="preserve">: </w:t>
      </w:r>
    </w:p>
    <w:p w14:paraId="640ECCA4" w14:textId="6512D0CB" w:rsidR="00816876" w:rsidRDefault="00816876" w:rsidP="002326D6">
      <w:pPr>
        <w:pStyle w:val="Heading2"/>
        <w:numPr>
          <w:ilvl w:val="0"/>
          <w:numId w:val="0"/>
        </w:numPr>
        <w:rPr>
          <w:lang w:val="en-ZA"/>
        </w:rPr>
      </w:pPr>
      <w:r>
        <w:rPr>
          <w:lang w:val="en-ZA"/>
        </w:rPr>
        <w:t xml:space="preserve">The PM </w:t>
      </w:r>
      <w:r w:rsidRPr="002326D6">
        <w:t>cycle</w:t>
      </w:r>
      <w:r w:rsidR="00F05B00">
        <w:rPr>
          <w:lang w:val="en-ZA"/>
        </w:rPr>
        <w:t xml:space="preserve"> and procedures</w:t>
      </w:r>
    </w:p>
    <w:p w14:paraId="0FF97A27" w14:textId="108E158B" w:rsidR="00C96F59" w:rsidRDefault="00E26353" w:rsidP="00CA2738">
      <w:r>
        <w:t>This section should describe the PM cycle</w:t>
      </w:r>
      <w:r w:rsidR="0094051C">
        <w:t xml:space="preserve"> and what it entails</w:t>
      </w:r>
      <w:r w:rsidR="00026B3D">
        <w:t xml:space="preserve"> to ensure </w:t>
      </w:r>
      <w:r w:rsidR="00735049">
        <w:t xml:space="preserve">that </w:t>
      </w:r>
      <w:r w:rsidR="00026B3D">
        <w:t xml:space="preserve">relevant staff members understand the purpose and </w:t>
      </w:r>
      <w:r w:rsidR="00762AE8">
        <w:t>pro</w:t>
      </w:r>
      <w:r w:rsidR="00780504">
        <w:t>cedures</w:t>
      </w:r>
      <w:r w:rsidR="00762AE8">
        <w:t xml:space="preserve"> of PM at the institution</w:t>
      </w:r>
      <w:r w:rsidR="00676DE8">
        <w:t xml:space="preserve">. </w:t>
      </w:r>
      <w:r w:rsidR="00762AE8">
        <w:t xml:space="preserve">It should provide a clear description of </w:t>
      </w:r>
      <w:r w:rsidR="006429B3">
        <w:t>the PM cycle and timeline</w:t>
      </w:r>
      <w:r w:rsidR="00B94BE2">
        <w:t xml:space="preserve">, what is expected to be achieved from each engagement, </w:t>
      </w:r>
      <w:r w:rsidR="00491614">
        <w:t xml:space="preserve">and what the possible outcomes will entail. </w:t>
      </w:r>
      <w:r w:rsidR="00D80C1E">
        <w:t>S</w:t>
      </w:r>
      <w:r w:rsidR="00EE54B3">
        <w:t xml:space="preserve">taff should be made aware of </w:t>
      </w:r>
      <w:r w:rsidR="00EC7597">
        <w:t>the roles and responsibilities of role</w:t>
      </w:r>
      <w:r w:rsidR="00735049">
        <w:t xml:space="preserve"> </w:t>
      </w:r>
      <w:proofErr w:type="gramStart"/>
      <w:r w:rsidR="00EC7597">
        <w:t>players</w:t>
      </w:r>
      <w:proofErr w:type="gramEnd"/>
      <w:r w:rsidR="00735049">
        <w:t xml:space="preserve"> and they must be </w:t>
      </w:r>
      <w:proofErr w:type="gramStart"/>
      <w:r w:rsidR="00735049">
        <w:t>given an</w:t>
      </w:r>
      <w:r w:rsidR="00EC7597">
        <w:t xml:space="preserve"> </w:t>
      </w:r>
      <w:r w:rsidR="00735049">
        <w:t>explanation of</w:t>
      </w:r>
      <w:proofErr w:type="gramEnd"/>
      <w:r w:rsidR="00735049">
        <w:t xml:space="preserve"> </w:t>
      </w:r>
      <w:r w:rsidR="00CC2C28">
        <w:t>the basis on which PM assessment takes place. This broad overview will serve as a</w:t>
      </w:r>
      <w:r w:rsidR="0005441D">
        <w:t xml:space="preserve"> summary of the PM process, and individual aspects of the process are discussed in more detail further in the policy.</w:t>
      </w:r>
    </w:p>
    <w:p w14:paraId="7428B592" w14:textId="77777777" w:rsidR="00C96F59" w:rsidRDefault="00C96F59" w:rsidP="00CA2738"/>
    <w:p w14:paraId="1AC9109E" w14:textId="4D999B5D" w:rsidR="00331EE4" w:rsidRDefault="00C96F59" w:rsidP="00CA2738">
      <w:r>
        <w:t xml:space="preserve">PM processes, in turn, should be described </w:t>
      </w:r>
      <w:r w:rsidR="0097573C">
        <w:t>in more detail</w:t>
      </w:r>
      <w:r w:rsidR="0005441D">
        <w:t xml:space="preserve"> </w:t>
      </w:r>
      <w:r>
        <w:t xml:space="preserve">to ensure </w:t>
      </w:r>
      <w:r w:rsidR="0053043A">
        <w:t>that all role</w:t>
      </w:r>
      <w:r w:rsidR="00AA4CC9">
        <w:t xml:space="preserve"> </w:t>
      </w:r>
      <w:r w:rsidR="0053043A">
        <w:t xml:space="preserve">players understand how it works. Key points </w:t>
      </w:r>
      <w:r w:rsidR="009034C7">
        <w:t xml:space="preserve">to </w:t>
      </w:r>
      <w:r w:rsidR="0053043A">
        <w:t>include</w:t>
      </w:r>
      <w:r w:rsidR="009034C7">
        <w:t xml:space="preserve"> here</w:t>
      </w:r>
      <w:r w:rsidR="00331EE4">
        <w:t>:</w:t>
      </w:r>
    </w:p>
    <w:p w14:paraId="679750DC" w14:textId="6FE4E635" w:rsidR="00320A94" w:rsidRDefault="00873CD6" w:rsidP="00D80C1E">
      <w:pPr>
        <w:pStyle w:val="ListParagraph"/>
        <w:numPr>
          <w:ilvl w:val="0"/>
          <w:numId w:val="25"/>
        </w:numPr>
      </w:pPr>
      <w:r>
        <w:t xml:space="preserve">Describe where the PM process starts – </w:t>
      </w:r>
      <w:r w:rsidR="00832405">
        <w:t>an HR professional supporting the employee and supervisor/manager to develop a</w:t>
      </w:r>
      <w:r w:rsidR="00C67530">
        <w:t>n individualised</w:t>
      </w:r>
      <w:r w:rsidR="00994240">
        <w:t xml:space="preserve"> PM framework with KPAs</w:t>
      </w:r>
      <w:r w:rsidR="00C67530">
        <w:t xml:space="preserve"> that</w:t>
      </w:r>
      <w:r w:rsidR="00A72C44">
        <w:t xml:space="preserve"> align with the employee’s job description, </w:t>
      </w:r>
      <w:r w:rsidR="00C67530">
        <w:t>and a</w:t>
      </w:r>
      <w:r w:rsidR="00832405">
        <w:t xml:space="preserve"> </w:t>
      </w:r>
      <w:r w:rsidR="003E0C92">
        <w:t>PDP</w:t>
      </w:r>
      <w:r w:rsidR="00C67530">
        <w:t xml:space="preserve">. </w:t>
      </w:r>
    </w:p>
    <w:p w14:paraId="654C69B5" w14:textId="1E5940CF" w:rsidR="00320A94" w:rsidRDefault="00320A94" w:rsidP="00D80C1E">
      <w:pPr>
        <w:pStyle w:val="ListParagraph"/>
        <w:numPr>
          <w:ilvl w:val="0"/>
          <w:numId w:val="25"/>
        </w:numPr>
      </w:pPr>
      <w:r>
        <w:t>The f</w:t>
      </w:r>
      <w:r w:rsidR="00AF6C02">
        <w:t>irst PM discussion</w:t>
      </w:r>
      <w:r>
        <w:t xml:space="preserve"> takes place</w:t>
      </w:r>
      <w:r w:rsidR="00AF6C02">
        <w:t xml:space="preserve"> between the supervisor/manager and employee to discuss </w:t>
      </w:r>
      <w:r w:rsidR="00B04B57">
        <w:t>KPIs</w:t>
      </w:r>
      <w:r>
        <w:t>.</w:t>
      </w:r>
    </w:p>
    <w:p w14:paraId="4E20B71F" w14:textId="56AC5A8F" w:rsidR="00411AF3" w:rsidRDefault="00320A94" w:rsidP="00D80C1E">
      <w:pPr>
        <w:pStyle w:val="ListParagraph"/>
        <w:numPr>
          <w:ilvl w:val="0"/>
          <w:numId w:val="25"/>
        </w:numPr>
      </w:pPr>
      <w:r>
        <w:t>In six months</w:t>
      </w:r>
      <w:r w:rsidR="005D2000">
        <w:t xml:space="preserve">, the supervisor/manager has an informal check-in meeting to discuss progress on KPIs and </w:t>
      </w:r>
      <w:r w:rsidR="00735049">
        <w:t xml:space="preserve">to determine if </w:t>
      </w:r>
      <w:r w:rsidR="005D2000">
        <w:t xml:space="preserve">there are any support needs. </w:t>
      </w:r>
    </w:p>
    <w:p w14:paraId="617F862F" w14:textId="2626E7A4" w:rsidR="009034C7" w:rsidRDefault="00411AF3" w:rsidP="00D80C1E">
      <w:pPr>
        <w:pStyle w:val="ListParagraph"/>
        <w:numPr>
          <w:ilvl w:val="0"/>
          <w:numId w:val="25"/>
        </w:numPr>
      </w:pPr>
      <w:r>
        <w:t xml:space="preserve">After a year, the supervisor/manager </w:t>
      </w:r>
      <w:r w:rsidR="005253AC">
        <w:t>conducts</w:t>
      </w:r>
      <w:r>
        <w:t xml:space="preserve"> a formal PM </w:t>
      </w:r>
      <w:r w:rsidR="005253AC">
        <w:t>assessment by rating KPI achievements and relevant competencies</w:t>
      </w:r>
      <w:r w:rsidR="008B651B">
        <w:t xml:space="preserve">. The assessment </w:t>
      </w:r>
      <w:r w:rsidR="00735049">
        <w:t>gives rise to</w:t>
      </w:r>
      <w:r w:rsidR="00670BAA">
        <w:t xml:space="preserve"> renewed goals and KPIs, along with recommendations </w:t>
      </w:r>
      <w:r w:rsidR="00CC3DA7">
        <w:t xml:space="preserve">for development opportunities or performance rewards. </w:t>
      </w:r>
    </w:p>
    <w:p w14:paraId="0682BE84" w14:textId="031A6E37" w:rsidR="00CC3DA7" w:rsidRDefault="00CC3DA7" w:rsidP="00D80C1E">
      <w:pPr>
        <w:pStyle w:val="ListParagraph"/>
        <w:numPr>
          <w:ilvl w:val="0"/>
          <w:numId w:val="25"/>
        </w:numPr>
      </w:pPr>
      <w:r>
        <w:lastRenderedPageBreak/>
        <w:t xml:space="preserve">HR staff </w:t>
      </w:r>
      <w:r w:rsidR="00D76D05">
        <w:t xml:space="preserve">collate PM information from various departments/units and </w:t>
      </w:r>
      <w:r w:rsidR="008A01AF">
        <w:t xml:space="preserve">coordinate development opportunities and rewards. </w:t>
      </w:r>
    </w:p>
    <w:p w14:paraId="45F2B18F" w14:textId="63DF9CC2" w:rsidR="008A01AF" w:rsidRDefault="008A01AF" w:rsidP="00D80C1E">
      <w:pPr>
        <w:pStyle w:val="ListParagraph"/>
        <w:numPr>
          <w:ilvl w:val="0"/>
          <w:numId w:val="25"/>
        </w:numPr>
      </w:pPr>
      <w:r>
        <w:t xml:space="preserve">HR staff compile a report </w:t>
      </w:r>
      <w:r w:rsidR="00D81711">
        <w:t>for the HR management committee containing a summary of</w:t>
      </w:r>
      <w:r w:rsidR="0013475B">
        <w:t xml:space="preserve"> current and needed</w:t>
      </w:r>
      <w:r w:rsidR="00D81711">
        <w:t xml:space="preserve"> workforce competencies</w:t>
      </w:r>
      <w:r w:rsidR="007A0A1D">
        <w:t xml:space="preserve"> to support strategic institutional goals</w:t>
      </w:r>
      <w:r w:rsidR="00161D85">
        <w:t xml:space="preserve">. </w:t>
      </w:r>
    </w:p>
    <w:p w14:paraId="4EEA64CF" w14:textId="77777777" w:rsidR="00350652" w:rsidRDefault="00350652" w:rsidP="00350652"/>
    <w:p w14:paraId="15D84A3A" w14:textId="0843315C" w:rsidR="007A0A1D" w:rsidRDefault="00350652" w:rsidP="007779F9">
      <w:r>
        <w:t xml:space="preserve">This section should also describe </w:t>
      </w:r>
      <w:r w:rsidR="007779F9">
        <w:t xml:space="preserve">the software that supports PM cycles, where staff can access training and troubleshooting support, and how the software enables </w:t>
      </w:r>
      <w:r w:rsidR="00913C18">
        <w:t xml:space="preserve">feedback </w:t>
      </w:r>
      <w:r w:rsidR="00AA4CC9">
        <w:t xml:space="preserve">about capacity and competency trends </w:t>
      </w:r>
      <w:r w:rsidR="00913C18">
        <w:t>to supervisors/managers and higher-level managers</w:t>
      </w:r>
      <w:r w:rsidR="002473F8">
        <w:t>.</w:t>
      </w:r>
    </w:p>
    <w:p w14:paraId="4C5E2426" w14:textId="3269BA24" w:rsidR="00D72B3E" w:rsidRDefault="00D72B3E" w:rsidP="002326D6">
      <w:pPr>
        <w:pStyle w:val="Heading2"/>
        <w:numPr>
          <w:ilvl w:val="0"/>
          <w:numId w:val="0"/>
        </w:numPr>
      </w:pPr>
      <w:r>
        <w:t>Roles and responsibilities in PM</w:t>
      </w:r>
    </w:p>
    <w:p w14:paraId="26F35A37" w14:textId="7D81C3AD" w:rsidR="00CA2738" w:rsidRDefault="00344030" w:rsidP="00CA2738">
      <w:r>
        <w:t>Role</w:t>
      </w:r>
      <w:r w:rsidR="00AA4CC9">
        <w:t xml:space="preserve"> </w:t>
      </w:r>
      <w:r>
        <w:t>players in the PM process</w:t>
      </w:r>
      <w:r w:rsidR="00F4115B">
        <w:t xml:space="preserve"> will typically</w:t>
      </w:r>
      <w:r>
        <w:t xml:space="preserve"> include employees, supervisors/managers, HR staff, and </w:t>
      </w:r>
      <w:r w:rsidR="00F4115B">
        <w:t xml:space="preserve">HR management committee members. This section should </w:t>
      </w:r>
      <w:r w:rsidR="005F0D94">
        <w:t>clearly list the roles and responsibilities of each role</w:t>
      </w:r>
      <w:r w:rsidR="00AA4CC9">
        <w:t xml:space="preserve"> </w:t>
      </w:r>
      <w:r w:rsidR="005F0D94">
        <w:t xml:space="preserve">player in the PM process. </w:t>
      </w:r>
      <w:r w:rsidR="00EE2C4A">
        <w:t>For example, the role</w:t>
      </w:r>
      <w:r w:rsidR="00CA2738">
        <w:t>s</w:t>
      </w:r>
      <w:r w:rsidR="00EE2C4A">
        <w:t xml:space="preserve"> of</w:t>
      </w:r>
      <w:r w:rsidR="00CA2738">
        <w:t xml:space="preserve"> supervisors/managers will</w:t>
      </w:r>
      <w:r w:rsidR="000F5EB6">
        <w:t xml:space="preserve"> likely</w:t>
      </w:r>
      <w:r w:rsidR="00CA2738">
        <w:t xml:space="preserve"> include:</w:t>
      </w:r>
    </w:p>
    <w:p w14:paraId="723A4282" w14:textId="60D61D8A" w:rsidR="00AE2C2A" w:rsidRDefault="00AE2C2A" w:rsidP="00D80C1E">
      <w:pPr>
        <w:pStyle w:val="ListParagraph"/>
        <w:numPr>
          <w:ilvl w:val="0"/>
          <w:numId w:val="26"/>
        </w:numPr>
      </w:pPr>
      <w:r>
        <w:t xml:space="preserve">Setting </w:t>
      </w:r>
      <w:r w:rsidR="00AC4384">
        <w:t>personal and professional objectives (KPIs) with employees</w:t>
      </w:r>
      <w:r w:rsidR="00AA4CC9">
        <w:t>,</w:t>
      </w:r>
      <w:r w:rsidR="00AC4384">
        <w:t xml:space="preserve"> based on their PDP and KPAs.</w:t>
      </w:r>
    </w:p>
    <w:p w14:paraId="18A5F492" w14:textId="41B0DF0A" w:rsidR="00AC4384" w:rsidRDefault="00035C64" w:rsidP="00D80C1E">
      <w:pPr>
        <w:pStyle w:val="ListParagraph"/>
        <w:numPr>
          <w:ilvl w:val="0"/>
          <w:numId w:val="26"/>
        </w:numPr>
      </w:pPr>
      <w:r>
        <w:t>Monitor</w:t>
      </w:r>
      <w:r w:rsidR="005F57DF">
        <w:t>ing</w:t>
      </w:r>
      <w:r w:rsidR="00F82094">
        <w:t xml:space="preserve"> and assessing</w:t>
      </w:r>
      <w:r>
        <w:t xml:space="preserve"> </w:t>
      </w:r>
      <w:r w:rsidR="008E6B3D">
        <w:t xml:space="preserve">employees’ performance </w:t>
      </w:r>
      <w:r w:rsidR="00F76BF6">
        <w:t xml:space="preserve">and development </w:t>
      </w:r>
      <w:r w:rsidR="008E6B3D">
        <w:t>against KPIs</w:t>
      </w:r>
      <w:r w:rsidR="00F76BF6">
        <w:t>, desired competencies,</w:t>
      </w:r>
      <w:r w:rsidR="008E6B3D">
        <w:t xml:space="preserve"> and PDP</w:t>
      </w:r>
      <w:r w:rsidR="00F76BF6">
        <w:t>s</w:t>
      </w:r>
      <w:r w:rsidR="008E6B3D">
        <w:t xml:space="preserve">. </w:t>
      </w:r>
    </w:p>
    <w:p w14:paraId="02EB392B" w14:textId="58859874" w:rsidR="00F76BF6" w:rsidRDefault="00F76BF6" w:rsidP="00D80C1E">
      <w:pPr>
        <w:pStyle w:val="ListParagraph"/>
        <w:numPr>
          <w:ilvl w:val="0"/>
          <w:numId w:val="26"/>
        </w:numPr>
      </w:pPr>
      <w:r>
        <w:t>Us</w:t>
      </w:r>
      <w:r w:rsidR="005F57DF">
        <w:t>ing</w:t>
      </w:r>
      <w:r>
        <w:t xml:space="preserve"> reward and recognition to reinforce good performance, in accordance with relevant institutional policies.</w:t>
      </w:r>
    </w:p>
    <w:p w14:paraId="46AFE3D3" w14:textId="31F3F12D" w:rsidR="00764756" w:rsidRDefault="00764756" w:rsidP="00D80C1E">
      <w:pPr>
        <w:pStyle w:val="ListParagraph"/>
        <w:numPr>
          <w:ilvl w:val="0"/>
          <w:numId w:val="26"/>
        </w:numPr>
      </w:pPr>
      <w:r>
        <w:t>Using development opportunities</w:t>
      </w:r>
      <w:r w:rsidR="00126FEE">
        <w:t xml:space="preserve"> in accordance with relevant institutional policies. </w:t>
      </w:r>
    </w:p>
    <w:p w14:paraId="650ABAF9" w14:textId="5961D1E6" w:rsidR="00F76BF6" w:rsidRDefault="00F76BF6" w:rsidP="00D80C1E">
      <w:pPr>
        <w:pStyle w:val="ListParagraph"/>
        <w:numPr>
          <w:ilvl w:val="0"/>
          <w:numId w:val="26"/>
        </w:numPr>
      </w:pPr>
      <w:r>
        <w:t>Manag</w:t>
      </w:r>
      <w:r w:rsidR="005F57DF">
        <w:t>ing</w:t>
      </w:r>
      <w:r>
        <w:t xml:space="preserve"> poor performance appropriately. </w:t>
      </w:r>
    </w:p>
    <w:p w14:paraId="485E3FCD" w14:textId="28E863B9" w:rsidR="005F57DF" w:rsidRDefault="005F57DF" w:rsidP="00D80C1E">
      <w:pPr>
        <w:pStyle w:val="ListParagraph"/>
        <w:numPr>
          <w:ilvl w:val="0"/>
          <w:numId w:val="26"/>
        </w:numPr>
      </w:pPr>
      <w:r>
        <w:t xml:space="preserve">Ensuring that employees understand what is expected from them. </w:t>
      </w:r>
    </w:p>
    <w:p w14:paraId="738A7F96" w14:textId="046C3578" w:rsidR="00CA2738" w:rsidRDefault="00AE2C2A" w:rsidP="00D80C1E">
      <w:pPr>
        <w:pStyle w:val="ListParagraph"/>
        <w:numPr>
          <w:ilvl w:val="0"/>
          <w:numId w:val="26"/>
        </w:numPr>
      </w:pPr>
      <w:r>
        <w:t>Provid</w:t>
      </w:r>
      <w:r w:rsidR="005F57DF">
        <w:t>ing</w:t>
      </w:r>
      <w:r>
        <w:t xml:space="preserve"> ongoing feedback to employees.</w:t>
      </w:r>
    </w:p>
    <w:p w14:paraId="5E068440" w14:textId="265686DE" w:rsidR="00F76BF6" w:rsidRDefault="005F57DF" w:rsidP="00D80C1E">
      <w:pPr>
        <w:pStyle w:val="ListParagraph"/>
        <w:numPr>
          <w:ilvl w:val="0"/>
          <w:numId w:val="26"/>
        </w:numPr>
      </w:pPr>
      <w:r>
        <w:t xml:space="preserve">Providing appropriate support </w:t>
      </w:r>
      <w:r w:rsidR="00F82094">
        <w:t>and a conducive work environment for employees.</w:t>
      </w:r>
    </w:p>
    <w:p w14:paraId="1F7596F8" w14:textId="30F9EE7F" w:rsidR="00503A5B" w:rsidRPr="002326D6" w:rsidRDefault="00503A5B" w:rsidP="00D80C1E">
      <w:pPr>
        <w:pStyle w:val="ListParagraph"/>
        <w:numPr>
          <w:ilvl w:val="0"/>
          <w:numId w:val="26"/>
        </w:numPr>
        <w:rPr>
          <w:lang w:val="en-ZA"/>
        </w:rPr>
      </w:pPr>
      <w:r w:rsidRPr="002326D6">
        <w:rPr>
          <w:lang w:val="en-ZA"/>
        </w:rPr>
        <w:t xml:space="preserve">Engaging in relevant training opportunities to </w:t>
      </w:r>
      <w:r w:rsidR="00997C1B" w:rsidRPr="002326D6">
        <w:rPr>
          <w:lang w:val="en-ZA"/>
        </w:rPr>
        <w:t>implement</w:t>
      </w:r>
      <w:r w:rsidRPr="002326D6">
        <w:rPr>
          <w:lang w:val="en-ZA"/>
        </w:rPr>
        <w:t xml:space="preserve"> PM tasks. </w:t>
      </w:r>
    </w:p>
    <w:p w14:paraId="19E80150" w14:textId="35F2A49E" w:rsidR="00F82094" w:rsidRDefault="00F82094" w:rsidP="00D80C1E">
      <w:pPr>
        <w:pStyle w:val="ListParagraph"/>
        <w:numPr>
          <w:ilvl w:val="0"/>
          <w:numId w:val="26"/>
        </w:numPr>
      </w:pPr>
      <w:r>
        <w:t xml:space="preserve">Engaging with HR professionals to ensure </w:t>
      </w:r>
      <w:r w:rsidR="006B3637">
        <w:t xml:space="preserve">compliance with policies and procedures. </w:t>
      </w:r>
    </w:p>
    <w:p w14:paraId="0AE46C64" w14:textId="04B27674" w:rsidR="00D72B3E" w:rsidRDefault="00D72B3E" w:rsidP="00CA2738"/>
    <w:p w14:paraId="16B3AC39" w14:textId="00F4CEDB" w:rsidR="0005441D" w:rsidRDefault="006B3637" w:rsidP="00CA2738">
      <w:r>
        <w:t>Employees’ roles and responsibilities will</w:t>
      </w:r>
      <w:r w:rsidR="00921B99">
        <w:t xml:space="preserve"> likely</w:t>
      </w:r>
      <w:r>
        <w:t xml:space="preserve"> include:</w:t>
      </w:r>
    </w:p>
    <w:p w14:paraId="52C868AB" w14:textId="23F65827" w:rsidR="006B3637" w:rsidRDefault="006C49CA" w:rsidP="00D80C1E">
      <w:pPr>
        <w:pStyle w:val="ListParagraph"/>
        <w:numPr>
          <w:ilvl w:val="0"/>
          <w:numId w:val="27"/>
        </w:numPr>
      </w:pPr>
      <w:r>
        <w:t xml:space="preserve">Actively participating in the PM process by </w:t>
      </w:r>
      <w:r w:rsidR="00F76BF8">
        <w:t xml:space="preserve">reflecting on personal and professional goals, </w:t>
      </w:r>
      <w:r w:rsidR="00C659C9">
        <w:t xml:space="preserve">suggesting </w:t>
      </w:r>
      <w:r w:rsidR="00167A25">
        <w:t>KPIs</w:t>
      </w:r>
      <w:r w:rsidR="00665C42">
        <w:t>, engaging in development opportunities,</w:t>
      </w:r>
      <w:r w:rsidR="00E71542">
        <w:t xml:space="preserve"> communicating openly with supervisors/managers about progress and challenges</w:t>
      </w:r>
      <w:r w:rsidR="00A14711">
        <w:t>,</w:t>
      </w:r>
      <w:r w:rsidR="00665C42">
        <w:t xml:space="preserve"> and collecting evidence to support </w:t>
      </w:r>
      <w:r w:rsidR="00AA4CC9">
        <w:t xml:space="preserve">the </w:t>
      </w:r>
      <w:r w:rsidR="00665C42">
        <w:t>achievement of KPIs through</w:t>
      </w:r>
      <w:r w:rsidR="00AA4CC9">
        <w:t>out</w:t>
      </w:r>
      <w:r w:rsidR="00665C42">
        <w:t xml:space="preserve"> the year. </w:t>
      </w:r>
    </w:p>
    <w:p w14:paraId="0FD3B5BD" w14:textId="6B522DB0" w:rsidR="00A14711" w:rsidRDefault="00A14711" w:rsidP="00D80C1E">
      <w:pPr>
        <w:pStyle w:val="ListParagraph"/>
        <w:numPr>
          <w:ilvl w:val="0"/>
          <w:numId w:val="27"/>
        </w:numPr>
      </w:pPr>
      <w:r>
        <w:t xml:space="preserve">Taking responsibility for the standard of their performance. </w:t>
      </w:r>
    </w:p>
    <w:p w14:paraId="61A36B3A" w14:textId="6F871F81" w:rsidR="00A14711" w:rsidRDefault="009C0DAE" w:rsidP="00D80C1E">
      <w:pPr>
        <w:pStyle w:val="ListParagraph"/>
        <w:numPr>
          <w:ilvl w:val="0"/>
          <w:numId w:val="27"/>
        </w:numPr>
      </w:pPr>
      <w:r>
        <w:t xml:space="preserve">Asking for help, support, and feedback. </w:t>
      </w:r>
    </w:p>
    <w:p w14:paraId="4DF01FDB" w14:textId="7891D3C3" w:rsidR="009C0DAE" w:rsidRDefault="009C0DAE" w:rsidP="00D80C1E">
      <w:pPr>
        <w:pStyle w:val="ListParagraph"/>
        <w:numPr>
          <w:ilvl w:val="0"/>
          <w:numId w:val="27"/>
        </w:numPr>
      </w:pPr>
      <w:r>
        <w:t xml:space="preserve">Keeping the supervisor/manager informed about </w:t>
      </w:r>
      <w:r w:rsidR="00AE2BEB">
        <w:t xml:space="preserve">challenges or problems that might affect their ability to achieve </w:t>
      </w:r>
      <w:r w:rsidR="00AA4CC9">
        <w:t xml:space="preserve">certain </w:t>
      </w:r>
      <w:r w:rsidR="00AE2BEB">
        <w:t xml:space="preserve">goals. </w:t>
      </w:r>
    </w:p>
    <w:p w14:paraId="67F05904" w14:textId="77777777" w:rsidR="0005441D" w:rsidRDefault="0005441D" w:rsidP="00CA2738"/>
    <w:p w14:paraId="03A8FE53" w14:textId="7BE05441" w:rsidR="00AE2BEB" w:rsidRDefault="00065AF7" w:rsidP="00CA2738">
      <w:r>
        <w:t xml:space="preserve">HR staff </w:t>
      </w:r>
      <w:r w:rsidR="00AE2BEB">
        <w:t>and management committee</w:t>
      </w:r>
      <w:r w:rsidR="00921B99">
        <w:t xml:space="preserve"> responsibilities will likely include: </w:t>
      </w:r>
    </w:p>
    <w:p w14:paraId="2653C7FA" w14:textId="77777777" w:rsidR="00754317" w:rsidRDefault="00921B99" w:rsidP="00D80C1E">
      <w:pPr>
        <w:pStyle w:val="ListParagraph"/>
        <w:numPr>
          <w:ilvl w:val="0"/>
          <w:numId w:val="28"/>
        </w:numPr>
      </w:pPr>
      <w:r>
        <w:t>Ensuring new employees are informed of the PM system and what is expected of them.</w:t>
      </w:r>
    </w:p>
    <w:p w14:paraId="5E890D58" w14:textId="3BE05CF5" w:rsidR="00921B99" w:rsidRDefault="00754317" w:rsidP="00D80C1E">
      <w:pPr>
        <w:pStyle w:val="ListParagraph"/>
        <w:numPr>
          <w:ilvl w:val="0"/>
          <w:numId w:val="28"/>
        </w:numPr>
      </w:pPr>
      <w:r>
        <w:t>Draft</w:t>
      </w:r>
      <w:r w:rsidR="00AA4CC9">
        <w:t>ing</w:t>
      </w:r>
      <w:r>
        <w:t xml:space="preserve"> KPAs that align with job descriptions and </w:t>
      </w:r>
      <w:r w:rsidR="009134FF">
        <w:t>work</w:t>
      </w:r>
      <w:r w:rsidR="00AA4CC9">
        <w:t>ing</w:t>
      </w:r>
      <w:r w:rsidR="009134FF">
        <w:t xml:space="preserve"> with employees and supervisors/managers to </w:t>
      </w:r>
      <w:r w:rsidR="00E3096A">
        <w:t>translate KPAs into KPIs.</w:t>
      </w:r>
      <w:r w:rsidR="002326D6">
        <w:t xml:space="preserve"> </w:t>
      </w:r>
    </w:p>
    <w:p w14:paraId="2996B507" w14:textId="6798A58D" w:rsidR="00921B99" w:rsidRDefault="00921B99" w:rsidP="00D80C1E">
      <w:pPr>
        <w:pStyle w:val="ListParagraph"/>
        <w:numPr>
          <w:ilvl w:val="0"/>
          <w:numId w:val="28"/>
        </w:numPr>
      </w:pPr>
      <w:r>
        <w:t>Supporting new employees to draft a PDP</w:t>
      </w:r>
      <w:r w:rsidR="00754317">
        <w:t>.</w:t>
      </w:r>
    </w:p>
    <w:p w14:paraId="17507D95" w14:textId="1C60D582" w:rsidR="00E3096A" w:rsidRDefault="00E3096A" w:rsidP="00D80C1E">
      <w:pPr>
        <w:pStyle w:val="ListParagraph"/>
        <w:numPr>
          <w:ilvl w:val="0"/>
          <w:numId w:val="28"/>
        </w:numPr>
      </w:pPr>
      <w:r>
        <w:t>Provid</w:t>
      </w:r>
      <w:r w:rsidR="00AA4CC9">
        <w:t>ing</w:t>
      </w:r>
      <w:r>
        <w:t xml:space="preserve"> training and support to supervisors/man</w:t>
      </w:r>
      <w:r w:rsidR="00AA4CC9">
        <w:t>a</w:t>
      </w:r>
      <w:r>
        <w:t xml:space="preserve">gers to implement PM. </w:t>
      </w:r>
    </w:p>
    <w:p w14:paraId="522F7E0C" w14:textId="7D43382E" w:rsidR="00E3096A" w:rsidRDefault="00E3096A" w:rsidP="00D80C1E">
      <w:pPr>
        <w:pStyle w:val="ListParagraph"/>
        <w:numPr>
          <w:ilvl w:val="0"/>
          <w:numId w:val="28"/>
        </w:numPr>
      </w:pPr>
      <w:r>
        <w:t>Ensur</w:t>
      </w:r>
      <w:r w:rsidR="00AA4CC9">
        <w:t>ing</w:t>
      </w:r>
      <w:r>
        <w:t xml:space="preserve"> that appropriate HR policies (PM, staff development, continuous professional development, etc.) are in place and updated regularly. </w:t>
      </w:r>
    </w:p>
    <w:p w14:paraId="0A27A50D" w14:textId="590A8064" w:rsidR="00E3096A" w:rsidRDefault="007712DC" w:rsidP="00D80C1E">
      <w:pPr>
        <w:pStyle w:val="ListParagraph"/>
        <w:numPr>
          <w:ilvl w:val="0"/>
          <w:numId w:val="28"/>
        </w:numPr>
      </w:pPr>
      <w:r>
        <w:t>Oversee</w:t>
      </w:r>
      <w:r w:rsidR="00AA4CC9">
        <w:t>ing</w:t>
      </w:r>
      <w:r>
        <w:t xml:space="preserve"> any queries or appeals from employees or supervisors/managers. </w:t>
      </w:r>
    </w:p>
    <w:p w14:paraId="60342CC9" w14:textId="06E70676" w:rsidR="007712DC" w:rsidRDefault="007712DC" w:rsidP="00D80C1E">
      <w:pPr>
        <w:pStyle w:val="ListParagraph"/>
        <w:numPr>
          <w:ilvl w:val="0"/>
          <w:numId w:val="28"/>
        </w:numPr>
      </w:pPr>
      <w:r>
        <w:t>Draft</w:t>
      </w:r>
      <w:r w:rsidR="00AA4CC9">
        <w:t>ing</w:t>
      </w:r>
      <w:r>
        <w:t xml:space="preserve"> a competency framework </w:t>
      </w:r>
      <w:r w:rsidR="00840C07">
        <w:t xml:space="preserve">that aligns with strategic institutional priorities. </w:t>
      </w:r>
    </w:p>
    <w:p w14:paraId="35BF51DB" w14:textId="55871860" w:rsidR="00840C07" w:rsidRDefault="00840C07" w:rsidP="00D80C1E">
      <w:pPr>
        <w:pStyle w:val="ListParagraph"/>
        <w:numPr>
          <w:ilvl w:val="0"/>
          <w:numId w:val="28"/>
        </w:numPr>
      </w:pPr>
      <w:r>
        <w:t>Coordinat</w:t>
      </w:r>
      <w:r w:rsidR="00AA4CC9">
        <w:t>ing</w:t>
      </w:r>
      <w:r>
        <w:t xml:space="preserve"> training/development opportunities</w:t>
      </w:r>
      <w:r w:rsidR="0000144F">
        <w:t xml:space="preserve"> resulting from PM assessments. </w:t>
      </w:r>
    </w:p>
    <w:p w14:paraId="719CB695" w14:textId="7E6E86F2" w:rsidR="0000144F" w:rsidRDefault="0000144F" w:rsidP="00D80C1E">
      <w:pPr>
        <w:pStyle w:val="ListParagraph"/>
        <w:numPr>
          <w:ilvl w:val="0"/>
          <w:numId w:val="28"/>
        </w:numPr>
      </w:pPr>
      <w:r>
        <w:lastRenderedPageBreak/>
        <w:t>Oversee</w:t>
      </w:r>
      <w:r w:rsidR="00AA4CC9">
        <w:t>ing</w:t>
      </w:r>
      <w:r>
        <w:t xml:space="preserve"> the quality of institutional PM processes. </w:t>
      </w:r>
    </w:p>
    <w:p w14:paraId="506D1337" w14:textId="4FEF098C" w:rsidR="0000144F" w:rsidRDefault="0000144F" w:rsidP="00D80C1E">
      <w:pPr>
        <w:pStyle w:val="ListParagraph"/>
        <w:numPr>
          <w:ilvl w:val="0"/>
          <w:numId w:val="28"/>
        </w:numPr>
      </w:pPr>
      <w:r>
        <w:t>Report</w:t>
      </w:r>
      <w:r w:rsidR="00AA4CC9">
        <w:t>ing</w:t>
      </w:r>
      <w:r>
        <w:t xml:space="preserve"> to institutional management on </w:t>
      </w:r>
      <w:r w:rsidR="006C3624">
        <w:t xml:space="preserve">workforce planning and development to support institutional priorities. </w:t>
      </w:r>
    </w:p>
    <w:p w14:paraId="7F7A20A6" w14:textId="2034B6D6" w:rsidR="00D72B3E" w:rsidRDefault="00D72B3E" w:rsidP="002326D6">
      <w:pPr>
        <w:pStyle w:val="Heading2"/>
        <w:numPr>
          <w:ilvl w:val="0"/>
          <w:numId w:val="0"/>
        </w:numPr>
      </w:pPr>
      <w:r w:rsidRPr="00D72B3E">
        <w:t xml:space="preserve">Key </w:t>
      </w:r>
      <w:r w:rsidRPr="002326D6">
        <w:t>Performance</w:t>
      </w:r>
      <w:r w:rsidRPr="00D72B3E">
        <w:t xml:space="preserve"> Areas and Key Performance Indicators</w:t>
      </w:r>
    </w:p>
    <w:p w14:paraId="17E58BAF" w14:textId="3892CF84" w:rsidR="00547841" w:rsidRDefault="006C3624" w:rsidP="00CA2738">
      <w:r>
        <w:t>KPA</w:t>
      </w:r>
      <w:r w:rsidR="00547841">
        <w:t xml:space="preserve">s are typically </w:t>
      </w:r>
      <w:r w:rsidR="00547841" w:rsidRPr="00E02B5B">
        <w:t xml:space="preserve">drawn from </w:t>
      </w:r>
      <w:r w:rsidR="00547841">
        <w:t>the tasks listed in the j</w:t>
      </w:r>
      <w:r w:rsidR="00547841" w:rsidRPr="00E02B5B">
        <w:t xml:space="preserve">ob </w:t>
      </w:r>
      <w:r w:rsidR="00547841">
        <w:t>p</w:t>
      </w:r>
      <w:r w:rsidR="00547841" w:rsidRPr="00E02B5B">
        <w:t>rofile</w:t>
      </w:r>
      <w:r w:rsidR="005D78FD">
        <w:t xml:space="preserve"> and may include </w:t>
      </w:r>
      <w:r w:rsidR="00547841" w:rsidRPr="00E02B5B">
        <w:t>specific work responsibilities</w:t>
      </w:r>
      <w:r w:rsidR="005D78FD">
        <w:t>. The PM policy should clearly state how KPAs and KPIs are determined</w:t>
      </w:r>
      <w:r w:rsidR="00837249">
        <w:t xml:space="preserve">, how many </w:t>
      </w:r>
      <w:r w:rsidR="004F5270">
        <w:t xml:space="preserve">KPAs </w:t>
      </w:r>
      <w:r w:rsidR="00837249">
        <w:t>should be considered for each employee (e.g., typically between three and six KPAs per job)</w:t>
      </w:r>
      <w:r w:rsidR="004F5270">
        <w:t>, and what constitutes good practice for KPIs (e.g., being measurable, appropriate timeframes, etc.)</w:t>
      </w:r>
      <w:r w:rsidR="00AA4CC9">
        <w:t>.</w:t>
      </w:r>
      <w:r w:rsidR="004F5270">
        <w:t xml:space="preserve"> </w:t>
      </w:r>
    </w:p>
    <w:p w14:paraId="0AAD451F" w14:textId="00897B23" w:rsidR="000817CA" w:rsidRDefault="00F05B00" w:rsidP="002326D6">
      <w:pPr>
        <w:pStyle w:val="Heading2"/>
        <w:numPr>
          <w:ilvl w:val="0"/>
          <w:numId w:val="0"/>
        </w:numPr>
      </w:pPr>
      <w:r>
        <w:t>R</w:t>
      </w:r>
      <w:r w:rsidR="000817CA" w:rsidRPr="003764F2">
        <w:t>ating scales</w:t>
      </w:r>
    </w:p>
    <w:p w14:paraId="344EAFC4" w14:textId="1E79090D" w:rsidR="00B123C0" w:rsidRDefault="009D4950" w:rsidP="00CA2738">
      <w:r w:rsidRPr="009D4950">
        <w:t xml:space="preserve">Rating </w:t>
      </w:r>
      <w:r w:rsidR="00F44612">
        <w:t>scales are intended to provide some level of standardisation when supervisors/managers assess employees’ performance. Such scales</w:t>
      </w:r>
      <w:r w:rsidR="00B64B82">
        <w:t>:</w:t>
      </w:r>
    </w:p>
    <w:p w14:paraId="1DFC7B14" w14:textId="28316C4B" w:rsidR="00B64B82" w:rsidRDefault="000E756A" w:rsidP="00D80C1E">
      <w:pPr>
        <w:pStyle w:val="ListParagraph"/>
        <w:numPr>
          <w:ilvl w:val="0"/>
          <w:numId w:val="29"/>
        </w:numPr>
      </w:pPr>
      <w:r>
        <w:t xml:space="preserve">Typically </w:t>
      </w:r>
      <w:r w:rsidR="00B64B82">
        <w:t>range from</w:t>
      </w:r>
      <w:r>
        <w:t xml:space="preserve"> 1-3, 1-4, or 1-5. With 1 = does not meet required standards and </w:t>
      </w:r>
      <w:r w:rsidR="00F552AA">
        <w:t xml:space="preserve">the maximum (3, 4 or 5) = exceeds required standards. </w:t>
      </w:r>
    </w:p>
    <w:p w14:paraId="7E13018E" w14:textId="5B70F208" w:rsidR="002163F7" w:rsidRDefault="002163F7" w:rsidP="00D80C1E">
      <w:pPr>
        <w:pStyle w:val="ListParagraph"/>
        <w:numPr>
          <w:ilvl w:val="0"/>
          <w:numId w:val="29"/>
        </w:numPr>
      </w:pPr>
      <w:r>
        <w:t>Can be used</w:t>
      </w:r>
      <w:r w:rsidR="006055AF">
        <w:t xml:space="preserve"> to assess the extent to which KPIs have been achieved, as well as the extent to which employees meet generic and technical competency requirements. </w:t>
      </w:r>
    </w:p>
    <w:p w14:paraId="079BD5AA" w14:textId="2EEC159E" w:rsidR="00955288" w:rsidRDefault="002917E9" w:rsidP="00D80C1E">
      <w:pPr>
        <w:pStyle w:val="ListParagraph"/>
        <w:numPr>
          <w:ilvl w:val="0"/>
          <w:numId w:val="29"/>
        </w:numPr>
      </w:pPr>
      <w:r>
        <w:t>Help to identify staff development needs</w:t>
      </w:r>
      <w:r w:rsidR="00F67153">
        <w:t xml:space="preserve">, as well as </w:t>
      </w:r>
      <w:r w:rsidR="00AA4CC9">
        <w:t xml:space="preserve">to </w:t>
      </w:r>
      <w:r w:rsidR="00F67153">
        <w:t xml:space="preserve">identify excellence. </w:t>
      </w:r>
    </w:p>
    <w:p w14:paraId="18ECD508" w14:textId="60C722F5" w:rsidR="002917E9" w:rsidRDefault="002917E9" w:rsidP="00D80C1E">
      <w:pPr>
        <w:pStyle w:val="ListParagraph"/>
        <w:numPr>
          <w:ilvl w:val="0"/>
          <w:numId w:val="29"/>
        </w:numPr>
      </w:pPr>
      <w:r>
        <w:t xml:space="preserve">Are only used in annual PM assessments. </w:t>
      </w:r>
    </w:p>
    <w:p w14:paraId="650790EA" w14:textId="79BC5693" w:rsidR="00F67153" w:rsidRPr="009D4950" w:rsidRDefault="00F67153" w:rsidP="00D80C1E">
      <w:pPr>
        <w:pStyle w:val="ListParagraph"/>
        <w:numPr>
          <w:ilvl w:val="0"/>
          <w:numId w:val="29"/>
        </w:numPr>
      </w:pPr>
      <w:r>
        <w:t xml:space="preserve">Are typically </w:t>
      </w:r>
      <w:r w:rsidR="00EE0993">
        <w:t>completed by supervisors/managers and employees, then used as a discussion tool to reach an agreed score for KPIs</w:t>
      </w:r>
      <w:r w:rsidR="00562589">
        <w:t xml:space="preserve"> and competencies, and </w:t>
      </w:r>
      <w:r w:rsidR="00AA4CC9">
        <w:t xml:space="preserve">ultimately </w:t>
      </w:r>
      <w:r w:rsidR="00562589">
        <w:t xml:space="preserve">to determine a way forward. </w:t>
      </w:r>
    </w:p>
    <w:p w14:paraId="3794B2AF" w14:textId="42BD535E" w:rsidR="00074949" w:rsidRDefault="00074949" w:rsidP="002326D6">
      <w:pPr>
        <w:pStyle w:val="Heading2"/>
        <w:numPr>
          <w:ilvl w:val="0"/>
          <w:numId w:val="0"/>
        </w:numPr>
      </w:pPr>
      <w:r>
        <w:t>R</w:t>
      </w:r>
      <w:r w:rsidR="00AE5CF2">
        <w:t>eview of performance assessments</w:t>
      </w:r>
    </w:p>
    <w:p w14:paraId="0AF6E1FB" w14:textId="34B45710" w:rsidR="000817CA" w:rsidRDefault="008C5796" w:rsidP="008C5796">
      <w:r>
        <w:t>Completed assessments are submitted</w:t>
      </w:r>
      <w:r w:rsidR="000817CA" w:rsidRPr="00F505F9">
        <w:t xml:space="preserve"> for review</w:t>
      </w:r>
      <w:r>
        <w:t xml:space="preserve"> by HR </w:t>
      </w:r>
      <w:r w:rsidR="00E92EB2">
        <w:t>professionals. While t</w:t>
      </w:r>
      <w:r w:rsidR="000817CA" w:rsidRPr="00F505F9">
        <w:t xml:space="preserve">he HR </w:t>
      </w:r>
      <w:r w:rsidR="00E92EB2">
        <w:t>d</w:t>
      </w:r>
      <w:r w:rsidR="000817CA" w:rsidRPr="00F505F9">
        <w:t xml:space="preserve">epartment cannot </w:t>
      </w:r>
      <w:r w:rsidR="00AA4CC9">
        <w:t>alter</w:t>
      </w:r>
      <w:r w:rsidR="00AA4CC9" w:rsidRPr="00F505F9">
        <w:t xml:space="preserve"> </w:t>
      </w:r>
      <w:r w:rsidR="000817CA" w:rsidRPr="00F505F9">
        <w:t>any of the scores</w:t>
      </w:r>
      <w:r w:rsidR="00AC7FF3">
        <w:t>, it can check for irregularities and consistency in implementing the HR policy and make recommendations for further actions.</w:t>
      </w:r>
      <w:r w:rsidR="002326D6">
        <w:t xml:space="preserve"> </w:t>
      </w:r>
      <w:r w:rsidR="0070794E">
        <w:t xml:space="preserve">This section of the policy should stipulate </w:t>
      </w:r>
      <w:r w:rsidR="00B90378">
        <w:t>what happens after assessments have been completed, including review and quality assurance processes, reporting procedures</w:t>
      </w:r>
      <w:r w:rsidR="00407C4E">
        <w:t xml:space="preserve">, and timeframes for HR </w:t>
      </w:r>
      <w:r w:rsidR="00CF516C">
        <w:t>data</w:t>
      </w:r>
      <w:r w:rsidR="00407C4E">
        <w:t xml:space="preserve"> updates (e.g., when departmental trends will be reviewed and published</w:t>
      </w:r>
      <w:r w:rsidR="00CF516C">
        <w:t>).</w:t>
      </w:r>
    </w:p>
    <w:p w14:paraId="53E5E2CC" w14:textId="7618950E" w:rsidR="00065AF7" w:rsidRDefault="00065AF7" w:rsidP="002326D6">
      <w:pPr>
        <w:pStyle w:val="Heading2"/>
        <w:numPr>
          <w:ilvl w:val="0"/>
          <w:numId w:val="0"/>
        </w:numPr>
      </w:pPr>
      <w:r>
        <w:t>Appeals and grievances</w:t>
      </w:r>
    </w:p>
    <w:p w14:paraId="46778FF7" w14:textId="575DD812" w:rsidR="00065AF7" w:rsidRDefault="007779F9" w:rsidP="00CA2738">
      <w:r>
        <w:t>PM policies should be clear on procedures</w:t>
      </w:r>
      <w:r w:rsidR="00AA4CC9">
        <w:t xml:space="preserve"> for lodging an appeal</w:t>
      </w:r>
      <w:r w:rsidR="00B03719">
        <w:t xml:space="preserve"> – for both employees and supervisors/managers. </w:t>
      </w:r>
      <w:r w:rsidR="00E4798D">
        <w:t xml:space="preserve">This might include </w:t>
      </w:r>
      <w:r w:rsidR="000E5AB1">
        <w:t xml:space="preserve">requiring a written letter of appeal directed to the HR department, and review processes </w:t>
      </w:r>
      <w:r w:rsidR="0091374E">
        <w:t xml:space="preserve">within the HR department and beyond that will guide decisions. </w:t>
      </w:r>
      <w:r w:rsidR="00E4798D">
        <w:t xml:space="preserve">The procedures should align with those stipulated in the </w:t>
      </w:r>
      <w:r w:rsidR="002049AA">
        <w:t>C</w:t>
      </w:r>
      <w:r w:rsidR="00E4798D">
        <w:t xml:space="preserve">ode of </w:t>
      </w:r>
      <w:r w:rsidR="002049AA">
        <w:t>C</w:t>
      </w:r>
      <w:r w:rsidR="00E4798D">
        <w:t>onduct or C</w:t>
      </w:r>
      <w:r w:rsidR="002049AA">
        <w:t xml:space="preserve">onditions </w:t>
      </w:r>
      <w:r w:rsidR="00E4798D">
        <w:t>o</w:t>
      </w:r>
      <w:r w:rsidR="002049AA">
        <w:t xml:space="preserve">f </w:t>
      </w:r>
      <w:r w:rsidR="00E4798D">
        <w:t>S</w:t>
      </w:r>
      <w:r w:rsidR="002049AA">
        <w:t>ervice</w:t>
      </w:r>
      <w:r w:rsidR="00E4798D">
        <w:t xml:space="preserve"> documents where relevant. </w:t>
      </w:r>
    </w:p>
    <w:p w14:paraId="2A557BAC" w14:textId="1D56E6BD" w:rsidR="00065AF7" w:rsidRDefault="00785BBF" w:rsidP="002326D6">
      <w:pPr>
        <w:pStyle w:val="Heading2"/>
        <w:numPr>
          <w:ilvl w:val="0"/>
          <w:numId w:val="0"/>
        </w:numPr>
      </w:pPr>
      <w:r>
        <w:lastRenderedPageBreak/>
        <w:t>Performance rewards</w:t>
      </w:r>
      <w:r w:rsidR="004F792E">
        <w:t xml:space="preserve"> </w:t>
      </w:r>
      <w:r w:rsidR="004F792E" w:rsidRPr="002326D6">
        <w:t>and</w:t>
      </w:r>
      <w:r w:rsidR="004F792E">
        <w:t xml:space="preserve"> staff development opportunities</w:t>
      </w:r>
    </w:p>
    <w:p w14:paraId="4B6FDB16" w14:textId="14A9D962" w:rsidR="0091374E" w:rsidRDefault="0091374E" w:rsidP="00CA2738">
      <w:r>
        <w:t xml:space="preserve">The PM policy should </w:t>
      </w:r>
      <w:r w:rsidR="004F792E">
        <w:t>clarif</w:t>
      </w:r>
      <w:r w:rsidR="00CB0AB4">
        <w:t xml:space="preserve">y what rewards and development opportunities are available to staff </w:t>
      </w:r>
      <w:proofErr w:type="gramStart"/>
      <w:r w:rsidR="00CB0AB4">
        <w:t>as a result of</w:t>
      </w:r>
      <w:proofErr w:type="gramEnd"/>
      <w:r w:rsidR="00CB0AB4">
        <w:t xml:space="preserve"> the PM </w:t>
      </w:r>
      <w:r w:rsidR="00A55989">
        <w:t xml:space="preserve">assessment. Examples of performance rewards may include: </w:t>
      </w:r>
    </w:p>
    <w:p w14:paraId="0DA66204" w14:textId="602F3702" w:rsidR="00A55989" w:rsidRDefault="00A55989" w:rsidP="00D80C1E">
      <w:pPr>
        <w:pStyle w:val="ListParagraph"/>
        <w:numPr>
          <w:ilvl w:val="0"/>
          <w:numId w:val="30"/>
        </w:numPr>
      </w:pPr>
      <w:r>
        <w:t>Merit bonusses</w:t>
      </w:r>
    </w:p>
    <w:p w14:paraId="50EC134A" w14:textId="7859E0F0" w:rsidR="00A55989" w:rsidRDefault="00A55989" w:rsidP="00D80C1E">
      <w:pPr>
        <w:pStyle w:val="ListParagraph"/>
        <w:numPr>
          <w:ilvl w:val="0"/>
          <w:numId w:val="30"/>
        </w:numPr>
      </w:pPr>
      <w:r>
        <w:t>Promotions</w:t>
      </w:r>
    </w:p>
    <w:p w14:paraId="3D3098D6" w14:textId="2E8A183B" w:rsidR="00A55989" w:rsidRDefault="0026674B" w:rsidP="00D80C1E">
      <w:pPr>
        <w:pStyle w:val="ListParagraph"/>
        <w:numPr>
          <w:ilvl w:val="0"/>
          <w:numId w:val="30"/>
        </w:numPr>
      </w:pPr>
      <w:r>
        <w:t>Research incentives</w:t>
      </w:r>
    </w:p>
    <w:p w14:paraId="0F947D6B" w14:textId="191F8A5E" w:rsidR="0026674B" w:rsidRDefault="0026674B" w:rsidP="00D80C1E">
      <w:pPr>
        <w:pStyle w:val="ListParagraph"/>
        <w:numPr>
          <w:ilvl w:val="0"/>
          <w:numId w:val="30"/>
        </w:numPr>
      </w:pPr>
      <w:r>
        <w:t>Excellence awards</w:t>
      </w:r>
    </w:p>
    <w:p w14:paraId="66EAE454" w14:textId="0F4A205C" w:rsidR="0026674B" w:rsidRDefault="0026674B" w:rsidP="00D80C1E">
      <w:pPr>
        <w:pStyle w:val="ListParagraph"/>
        <w:numPr>
          <w:ilvl w:val="0"/>
          <w:numId w:val="30"/>
        </w:numPr>
      </w:pPr>
      <w:r>
        <w:t>Coaching or mentoring opportunities</w:t>
      </w:r>
    </w:p>
    <w:p w14:paraId="7F6AF0CF" w14:textId="77777777" w:rsidR="0026674B" w:rsidRDefault="0026674B" w:rsidP="0055699E">
      <w:pPr>
        <w:pStyle w:val="ListParagraph"/>
      </w:pPr>
    </w:p>
    <w:p w14:paraId="29CE7A1C" w14:textId="789B3903" w:rsidR="00306326" w:rsidRDefault="000A1CB9" w:rsidP="00CA2738">
      <w:r>
        <w:t>T</w:t>
      </w:r>
      <w:r w:rsidR="00306326">
        <w:t xml:space="preserve">he policy should </w:t>
      </w:r>
      <w:r>
        <w:t xml:space="preserve">also </w:t>
      </w:r>
      <w:r w:rsidR="00306326">
        <w:t xml:space="preserve">be clear on how to deal with </w:t>
      </w:r>
      <w:r w:rsidR="0055699E">
        <w:t>underperforming staff</w:t>
      </w:r>
      <w:r w:rsidR="00306326">
        <w:t>. For example</w:t>
      </w:r>
      <w:r>
        <w:t>, this can be done by</w:t>
      </w:r>
      <w:r w:rsidR="00306326">
        <w:t xml:space="preserve">: </w:t>
      </w:r>
    </w:p>
    <w:p w14:paraId="0BB66DC9" w14:textId="20562CBC" w:rsidR="0091374E" w:rsidRDefault="00A9377F" w:rsidP="00D80C1E">
      <w:pPr>
        <w:pStyle w:val="ListParagraph"/>
        <w:numPr>
          <w:ilvl w:val="0"/>
          <w:numId w:val="31"/>
        </w:numPr>
      </w:pPr>
      <w:r>
        <w:t xml:space="preserve">Stipulating </w:t>
      </w:r>
      <w:r w:rsidR="001140C4">
        <w:t xml:space="preserve">under which conditions employees should be directed to development opportunities (and what development opportunities are available to </w:t>
      </w:r>
      <w:r w:rsidR="001771B8">
        <w:t xml:space="preserve">enhance desired skills, competencies, or knowledge). These statements should align with staff development and continuous professional development policies. </w:t>
      </w:r>
    </w:p>
    <w:p w14:paraId="61C61B24" w14:textId="635CBB1E" w:rsidR="001771B8" w:rsidRDefault="00DE2C62" w:rsidP="00D80C1E">
      <w:pPr>
        <w:pStyle w:val="ListParagraph"/>
        <w:numPr>
          <w:ilvl w:val="0"/>
          <w:numId w:val="31"/>
        </w:numPr>
      </w:pPr>
      <w:r>
        <w:t xml:space="preserve">Guiding employees and supervisors/managers </w:t>
      </w:r>
      <w:r w:rsidR="00F85257">
        <w:t xml:space="preserve">in determining when performance is considered </w:t>
      </w:r>
      <w:r w:rsidR="00E21436">
        <w:t xml:space="preserve">beyond </w:t>
      </w:r>
      <w:r w:rsidR="00AB6CDF">
        <w:t>rectification through development opportunities, and what steps to follow</w:t>
      </w:r>
      <w:r w:rsidR="00C84292">
        <w:t xml:space="preserve"> from there. These statements should align with institutional disciplinary and termination policies. </w:t>
      </w:r>
    </w:p>
    <w:p w14:paraId="4EA9C896" w14:textId="5FFCDEFB" w:rsidR="0099062D" w:rsidRDefault="0099062D" w:rsidP="002326D6">
      <w:pPr>
        <w:pStyle w:val="Heading2"/>
        <w:numPr>
          <w:ilvl w:val="0"/>
          <w:numId w:val="0"/>
        </w:numPr>
      </w:pPr>
      <w:r>
        <w:t>Policy implementation</w:t>
      </w:r>
    </w:p>
    <w:p w14:paraId="670B97A7" w14:textId="447206B3" w:rsidR="00114DD5" w:rsidRDefault="00114DD5" w:rsidP="00CA2738">
      <w:r>
        <w:t xml:space="preserve">The PM policy should have clear guidelines on how the policy will be implemented, how monitoring and evaluation will take place, and </w:t>
      </w:r>
      <w:r w:rsidR="00041238">
        <w:t xml:space="preserve">when it should be reviewed. </w:t>
      </w:r>
    </w:p>
    <w:p w14:paraId="62B120AE" w14:textId="1305E755" w:rsidR="00A71258" w:rsidRDefault="00A71258" w:rsidP="00CA2738">
      <w:pPr>
        <w:jc w:val="left"/>
        <w:rPr>
          <w:b/>
          <w:bCs/>
          <w:lang w:val="en-ZA"/>
        </w:rPr>
      </w:pPr>
      <w:r>
        <w:rPr>
          <w:b/>
          <w:bCs/>
          <w:lang w:val="en-ZA"/>
        </w:rPr>
        <w:br w:type="page"/>
      </w:r>
    </w:p>
    <w:p w14:paraId="64886492" w14:textId="7B4A1A82" w:rsidR="00444A76" w:rsidRDefault="00A71258" w:rsidP="00CA2738">
      <w:pPr>
        <w:pStyle w:val="Heading1"/>
      </w:pPr>
      <w:r>
        <w:lastRenderedPageBreak/>
        <w:t xml:space="preserve">Appendix </w:t>
      </w:r>
      <w:r w:rsidR="00F9657E">
        <w:t>F</w:t>
      </w:r>
      <w:r>
        <w:t xml:space="preserve">: Staff development </w:t>
      </w:r>
      <w:r w:rsidR="009D766C">
        <w:t>policy template</w:t>
      </w:r>
    </w:p>
    <w:p w14:paraId="3F0801C1" w14:textId="77777777" w:rsidR="00A71258" w:rsidRDefault="00A71258" w:rsidP="00CA2738">
      <w:pPr>
        <w:rPr>
          <w:b/>
          <w:bCs/>
          <w:lang w:val="en-ZA"/>
        </w:rPr>
      </w:pPr>
    </w:p>
    <w:p w14:paraId="66FB62AF" w14:textId="79F34BD1" w:rsidR="001B3EF7" w:rsidRDefault="001B3EF7" w:rsidP="001B3EF7">
      <w:pPr>
        <w:rPr>
          <w:lang w:val="en-ZA"/>
        </w:rPr>
      </w:pPr>
      <w:r>
        <w:rPr>
          <w:lang w:val="en-ZA"/>
        </w:rPr>
        <w:t xml:space="preserve">Initial headings will be determined by individual institutions, but will typically include </w:t>
      </w:r>
      <w:r w:rsidR="000A1CB9">
        <w:rPr>
          <w:lang w:val="en-ZA"/>
        </w:rPr>
        <w:t xml:space="preserve">the following </w:t>
      </w:r>
      <w:r>
        <w:rPr>
          <w:lang w:val="en-ZA"/>
        </w:rPr>
        <w:t>sections:</w:t>
      </w:r>
    </w:p>
    <w:p w14:paraId="58A08D3C" w14:textId="4F349B2C" w:rsidR="001B3EF7" w:rsidRDefault="001B3EF7" w:rsidP="00D80C1E">
      <w:pPr>
        <w:pStyle w:val="ListParagraph"/>
        <w:numPr>
          <w:ilvl w:val="0"/>
          <w:numId w:val="32"/>
        </w:numPr>
        <w:rPr>
          <w:lang w:val="en-ZA"/>
        </w:rPr>
      </w:pPr>
      <w:r>
        <w:rPr>
          <w:b/>
          <w:bCs/>
          <w:lang w:val="en-ZA"/>
        </w:rPr>
        <w:t>Introduction</w:t>
      </w:r>
      <w:r w:rsidRPr="007D28A8">
        <w:rPr>
          <w:b/>
          <w:bCs/>
          <w:lang w:val="en-ZA"/>
        </w:rPr>
        <w:t>/Background</w:t>
      </w:r>
      <w:r>
        <w:rPr>
          <w:lang w:val="en-ZA"/>
        </w:rPr>
        <w:t>: The introduction section might include statements on the institution’s commitment to</w:t>
      </w:r>
      <w:r w:rsidR="0035487E">
        <w:rPr>
          <w:lang w:val="en-ZA"/>
        </w:rPr>
        <w:t xml:space="preserve"> lifelong learning</w:t>
      </w:r>
      <w:r w:rsidR="00A80DBE">
        <w:rPr>
          <w:lang w:val="en-ZA"/>
        </w:rPr>
        <w:t xml:space="preserve"> and encouraging </w:t>
      </w:r>
      <w:r w:rsidR="0035487E" w:rsidRPr="0035487E">
        <w:t xml:space="preserve">employees to actively pursue </w:t>
      </w:r>
      <w:r w:rsidR="00A44FAB">
        <w:t xml:space="preserve">personal and </w:t>
      </w:r>
      <w:r w:rsidR="0035487E" w:rsidRPr="0035487E">
        <w:t xml:space="preserve">professional development as an integral part of their employment. </w:t>
      </w:r>
      <w:r w:rsidR="001314C5">
        <w:t xml:space="preserve">It should further also position the policy </w:t>
      </w:r>
      <w:r w:rsidR="004678DA">
        <w:t xml:space="preserve">and accompanying development opportunities as a vehicle to address gaps in skills, </w:t>
      </w:r>
      <w:r w:rsidR="00516E1C">
        <w:t>promote</w:t>
      </w:r>
      <w:r w:rsidR="00D97AD0">
        <w:t xml:space="preserve"> </w:t>
      </w:r>
      <w:r w:rsidR="004678DA">
        <w:t xml:space="preserve">competencies, or </w:t>
      </w:r>
      <w:r w:rsidR="00516E1C">
        <w:t xml:space="preserve">support the development of </w:t>
      </w:r>
      <w:r w:rsidR="004678DA">
        <w:t>required knowledge to perform duties and advance in careers</w:t>
      </w:r>
      <w:r w:rsidR="0035487E" w:rsidRPr="0035487E">
        <w:t>.</w:t>
      </w:r>
      <w:r w:rsidR="002B0FF1">
        <w:t xml:space="preserve"> </w:t>
      </w:r>
      <w:r w:rsidR="002B0FF1" w:rsidRPr="007021EB">
        <w:rPr>
          <w:lang w:val="en-ZA"/>
        </w:rPr>
        <w:t xml:space="preserve">The introduction section </w:t>
      </w:r>
      <w:r w:rsidR="002B0FF1">
        <w:rPr>
          <w:lang w:val="en-ZA"/>
        </w:rPr>
        <w:t xml:space="preserve">should also </w:t>
      </w:r>
      <w:r w:rsidR="002B0FF1" w:rsidRPr="007021EB">
        <w:rPr>
          <w:lang w:val="en-ZA"/>
        </w:rPr>
        <w:t>include statements on the institution’s commitment to provide Continuous Professional Development (CPD) opportunities for staff to advance r</w:t>
      </w:r>
      <w:r w:rsidR="002B0FF1" w:rsidRPr="006C010C">
        <w:rPr>
          <w:lang w:val="en-ZA"/>
        </w:rPr>
        <w:t>esearch skills</w:t>
      </w:r>
      <w:r w:rsidR="002B0FF1" w:rsidRPr="007021EB">
        <w:rPr>
          <w:lang w:val="en-ZA"/>
        </w:rPr>
        <w:t>, d</w:t>
      </w:r>
      <w:r w:rsidR="002B0FF1" w:rsidRPr="006C010C">
        <w:rPr>
          <w:lang w:val="en-ZA"/>
        </w:rPr>
        <w:t>isciplinary knowledge, skills and competencies</w:t>
      </w:r>
      <w:r w:rsidR="002B0FF1" w:rsidRPr="007021EB">
        <w:rPr>
          <w:lang w:val="en-ZA"/>
        </w:rPr>
        <w:t>, t</w:t>
      </w:r>
      <w:r w:rsidR="002B0FF1" w:rsidRPr="006C010C">
        <w:rPr>
          <w:lang w:val="en-ZA"/>
        </w:rPr>
        <w:t>eaching and learning methods</w:t>
      </w:r>
      <w:r w:rsidR="002B0FF1" w:rsidRPr="007021EB">
        <w:rPr>
          <w:lang w:val="en-ZA"/>
        </w:rPr>
        <w:t>, or development in o</w:t>
      </w:r>
      <w:r w:rsidR="002B0FF1" w:rsidRPr="006C010C">
        <w:rPr>
          <w:lang w:val="en-ZA"/>
        </w:rPr>
        <w:t>ther strategic priorities</w:t>
      </w:r>
      <w:r w:rsidR="002B0FF1" w:rsidRPr="007021EB">
        <w:rPr>
          <w:lang w:val="en-ZA"/>
        </w:rPr>
        <w:t xml:space="preserve">, such as </w:t>
      </w:r>
      <w:r w:rsidR="002B0FF1" w:rsidRPr="006C010C">
        <w:rPr>
          <w:lang w:val="en-ZA"/>
        </w:rPr>
        <w:t>community engagement</w:t>
      </w:r>
      <w:r w:rsidR="002B0FF1" w:rsidRPr="007021EB">
        <w:rPr>
          <w:lang w:val="en-ZA"/>
        </w:rPr>
        <w:t xml:space="preserve">. If relevant, the institution’s provisioning of CPD opportunities for external </w:t>
      </w:r>
      <w:r w:rsidR="002B0FF1" w:rsidRPr="006C010C">
        <w:rPr>
          <w:lang w:val="en-ZA"/>
        </w:rPr>
        <w:t>professionals (in partnership with</w:t>
      </w:r>
      <w:r w:rsidR="002B0FF1">
        <w:rPr>
          <w:lang w:val="en-ZA"/>
        </w:rPr>
        <w:t xml:space="preserve"> ministries or</w:t>
      </w:r>
      <w:r w:rsidR="002B0FF1" w:rsidRPr="006C010C">
        <w:rPr>
          <w:lang w:val="en-ZA"/>
        </w:rPr>
        <w:t xml:space="preserve"> professional bodies)</w:t>
      </w:r>
      <w:r w:rsidR="002B0FF1">
        <w:rPr>
          <w:lang w:val="en-ZA"/>
        </w:rPr>
        <w:t xml:space="preserve"> could also be mentioned here.</w:t>
      </w:r>
    </w:p>
    <w:p w14:paraId="22572219" w14:textId="222A190A" w:rsidR="001B3EF7" w:rsidRDefault="001B3EF7" w:rsidP="00D80C1E">
      <w:pPr>
        <w:pStyle w:val="ListParagraph"/>
        <w:numPr>
          <w:ilvl w:val="0"/>
          <w:numId w:val="32"/>
        </w:numPr>
        <w:rPr>
          <w:lang w:val="en-ZA"/>
        </w:rPr>
      </w:pPr>
      <w:r w:rsidRPr="007D28A8">
        <w:rPr>
          <w:b/>
          <w:bCs/>
          <w:lang w:val="en-ZA"/>
        </w:rPr>
        <w:t>Definitions</w:t>
      </w:r>
      <w:r>
        <w:rPr>
          <w:lang w:val="en-ZA"/>
        </w:rPr>
        <w:t>: Typical terms that might need clarifying in this context include</w:t>
      </w:r>
      <w:r w:rsidR="006A553E">
        <w:rPr>
          <w:lang w:val="en-ZA"/>
        </w:rPr>
        <w:t xml:space="preserve"> </w:t>
      </w:r>
      <w:r w:rsidR="005D5685">
        <w:rPr>
          <w:lang w:val="en-ZA"/>
        </w:rPr>
        <w:t>academic staff, professional staff, non-academic staff,</w:t>
      </w:r>
      <w:r w:rsidR="00F81C87">
        <w:rPr>
          <w:lang w:val="en-ZA"/>
        </w:rPr>
        <w:t xml:space="preserve"> competency framework, performance management, lifelong learning, development, training, </w:t>
      </w:r>
      <w:r w:rsidR="00B277BE">
        <w:rPr>
          <w:lang w:val="en-ZA"/>
        </w:rPr>
        <w:t>supervisor/manager, development cycle</w:t>
      </w:r>
      <w:r w:rsidR="0058186B">
        <w:rPr>
          <w:lang w:val="en-ZA"/>
        </w:rPr>
        <w:t xml:space="preserve">, formal qualifications, </w:t>
      </w:r>
      <w:r w:rsidR="000F7F96">
        <w:rPr>
          <w:lang w:val="en-ZA"/>
        </w:rPr>
        <w:t>non-formal training</w:t>
      </w:r>
      <w:r w:rsidR="002B0FF1">
        <w:rPr>
          <w:lang w:val="en-ZA"/>
        </w:rPr>
        <w:t>, formal and informal CPD, credits, accreditation, short courses, and professional bodies</w:t>
      </w:r>
      <w:r>
        <w:rPr>
          <w:lang w:val="en-ZA"/>
        </w:rPr>
        <w:t>.</w:t>
      </w:r>
    </w:p>
    <w:p w14:paraId="03C3D0C2" w14:textId="457C2F7D" w:rsidR="001B3EF7" w:rsidRDefault="001B3EF7" w:rsidP="00D80C1E">
      <w:pPr>
        <w:pStyle w:val="ListParagraph"/>
        <w:numPr>
          <w:ilvl w:val="0"/>
          <w:numId w:val="32"/>
        </w:numPr>
        <w:rPr>
          <w:lang w:val="en-ZA"/>
        </w:rPr>
      </w:pPr>
      <w:r w:rsidRPr="00B55962">
        <w:rPr>
          <w:b/>
          <w:bCs/>
          <w:lang w:val="en-ZA"/>
        </w:rPr>
        <w:t>Scope</w:t>
      </w:r>
      <w:r>
        <w:rPr>
          <w:lang w:val="en-ZA"/>
        </w:rPr>
        <w:t xml:space="preserve">: The scope of the policy stipulates the intended audience to which the policy </w:t>
      </w:r>
      <w:r w:rsidR="000A1CB9">
        <w:rPr>
          <w:lang w:val="en-ZA"/>
        </w:rPr>
        <w:t>applies</w:t>
      </w:r>
      <w:r>
        <w:rPr>
          <w:lang w:val="en-ZA"/>
        </w:rPr>
        <w:t>.</w:t>
      </w:r>
      <w:r w:rsidR="00B277BE">
        <w:rPr>
          <w:lang w:val="en-ZA"/>
        </w:rPr>
        <w:t xml:space="preserve"> Staff development policies typically include all staff</w:t>
      </w:r>
      <w:r w:rsidR="000D1C16">
        <w:rPr>
          <w:lang w:val="en-ZA"/>
        </w:rPr>
        <w:t>, regardless of whether they are appointed as academics or non-academics (professionals or administrators)</w:t>
      </w:r>
      <w:r w:rsidR="002B0FF1">
        <w:rPr>
          <w:lang w:val="en-ZA"/>
        </w:rPr>
        <w:t xml:space="preserve">, while CPD is mainly </w:t>
      </w:r>
      <w:r w:rsidR="009F3C7B">
        <w:rPr>
          <w:lang w:val="en-ZA"/>
        </w:rPr>
        <w:t>reserved for professional or academic staff.</w:t>
      </w:r>
      <w:r w:rsidR="002326D6">
        <w:rPr>
          <w:lang w:val="en-ZA"/>
        </w:rPr>
        <w:t xml:space="preserve"> </w:t>
      </w:r>
    </w:p>
    <w:p w14:paraId="0A2C5462" w14:textId="16437F09" w:rsidR="001B3EF7" w:rsidRPr="00123235" w:rsidRDefault="001B3EF7" w:rsidP="00D80C1E">
      <w:pPr>
        <w:pStyle w:val="ListParagraph"/>
        <w:numPr>
          <w:ilvl w:val="0"/>
          <w:numId w:val="32"/>
        </w:numPr>
        <w:rPr>
          <w:lang w:val="en-ZA"/>
        </w:rPr>
      </w:pPr>
      <w:r w:rsidRPr="00123235">
        <w:rPr>
          <w:b/>
          <w:bCs/>
          <w:lang w:val="en-ZA"/>
        </w:rPr>
        <w:t>Principles</w:t>
      </w:r>
      <w:r w:rsidRPr="00123235">
        <w:rPr>
          <w:lang w:val="en-ZA"/>
        </w:rPr>
        <w:t>: Institutions typically list a set of principles that the policy statements are based on. These might include</w:t>
      </w:r>
      <w:r>
        <w:rPr>
          <w:lang w:val="en-ZA"/>
        </w:rPr>
        <w:t xml:space="preserve"> </w:t>
      </w:r>
      <w:r w:rsidRPr="00123235">
        <w:rPr>
          <w:lang w:val="en-ZA"/>
        </w:rPr>
        <w:t xml:space="preserve">compliance with legislation and institutional statutes, </w:t>
      </w:r>
      <w:r>
        <w:rPr>
          <w:lang w:val="en-ZA"/>
        </w:rPr>
        <w:t>valuing e</w:t>
      </w:r>
      <w:r w:rsidRPr="00123235">
        <w:rPr>
          <w:lang w:val="en-ZA"/>
        </w:rPr>
        <w:t xml:space="preserve">quity and </w:t>
      </w:r>
      <w:r>
        <w:rPr>
          <w:lang w:val="en-ZA"/>
        </w:rPr>
        <w:t>f</w:t>
      </w:r>
      <w:r w:rsidRPr="00123235">
        <w:rPr>
          <w:lang w:val="en-ZA"/>
        </w:rPr>
        <w:t>airness</w:t>
      </w:r>
      <w:r>
        <w:rPr>
          <w:lang w:val="en-ZA"/>
        </w:rPr>
        <w:t xml:space="preserve">, </w:t>
      </w:r>
      <w:r w:rsidR="00044BC8">
        <w:rPr>
          <w:lang w:val="en-ZA"/>
        </w:rPr>
        <w:t xml:space="preserve">lifelong learning, </w:t>
      </w:r>
      <w:r>
        <w:rPr>
          <w:lang w:val="en-ZA"/>
        </w:rPr>
        <w:t>and committing to s</w:t>
      </w:r>
      <w:r w:rsidRPr="00123235">
        <w:rPr>
          <w:lang w:val="en-ZA"/>
        </w:rPr>
        <w:t xml:space="preserve">upport </w:t>
      </w:r>
      <w:r>
        <w:rPr>
          <w:lang w:val="en-ZA"/>
        </w:rPr>
        <w:t>p</w:t>
      </w:r>
      <w:r w:rsidRPr="00123235">
        <w:rPr>
          <w:lang w:val="en-ZA"/>
        </w:rPr>
        <w:t xml:space="preserve">rofessional </w:t>
      </w:r>
      <w:r>
        <w:rPr>
          <w:lang w:val="en-ZA"/>
        </w:rPr>
        <w:t>d</w:t>
      </w:r>
      <w:r w:rsidRPr="00123235">
        <w:rPr>
          <w:lang w:val="en-ZA"/>
        </w:rPr>
        <w:t>evelopment</w:t>
      </w:r>
      <w:r>
        <w:rPr>
          <w:lang w:val="en-ZA"/>
        </w:rPr>
        <w:t>.</w:t>
      </w:r>
    </w:p>
    <w:p w14:paraId="61ADE607" w14:textId="50F982C1" w:rsidR="001B3EF7" w:rsidRDefault="001B3EF7" w:rsidP="00D80C1E">
      <w:pPr>
        <w:pStyle w:val="ListParagraph"/>
        <w:numPr>
          <w:ilvl w:val="0"/>
          <w:numId w:val="32"/>
        </w:numPr>
        <w:rPr>
          <w:lang w:val="en-ZA"/>
        </w:rPr>
      </w:pPr>
      <w:r w:rsidRPr="00B55962">
        <w:rPr>
          <w:b/>
          <w:bCs/>
          <w:lang w:val="en-ZA"/>
        </w:rPr>
        <w:t>Policy alignment</w:t>
      </w:r>
      <w:r>
        <w:rPr>
          <w:lang w:val="en-ZA"/>
        </w:rPr>
        <w:t xml:space="preserve">: Listing relevant policies or guiding documents that need to be read alongside the </w:t>
      </w:r>
      <w:r w:rsidR="00044BC8">
        <w:rPr>
          <w:lang w:val="en-ZA"/>
        </w:rPr>
        <w:t>staff development</w:t>
      </w:r>
      <w:r>
        <w:rPr>
          <w:lang w:val="en-ZA"/>
        </w:rPr>
        <w:t xml:space="preserve"> policy. </w:t>
      </w:r>
    </w:p>
    <w:p w14:paraId="675E7DBF" w14:textId="77777777" w:rsidR="001B3EF7" w:rsidRDefault="001B3EF7" w:rsidP="001B3EF7">
      <w:pPr>
        <w:rPr>
          <w:lang w:val="en-ZA"/>
        </w:rPr>
      </w:pPr>
    </w:p>
    <w:p w14:paraId="2F0AF51C" w14:textId="4DD387A8" w:rsidR="001B3EF7" w:rsidRDefault="001B3EF7" w:rsidP="001B3EF7">
      <w:pPr>
        <w:rPr>
          <w:lang w:val="en-ZA"/>
        </w:rPr>
      </w:pPr>
      <w:r>
        <w:rPr>
          <w:lang w:val="en-ZA"/>
        </w:rPr>
        <w:t xml:space="preserve">Thereafter, policy statements on the following aspects of </w:t>
      </w:r>
      <w:r w:rsidR="00044BC8">
        <w:rPr>
          <w:lang w:val="en-ZA"/>
        </w:rPr>
        <w:t>staff development c</w:t>
      </w:r>
      <w:r>
        <w:rPr>
          <w:lang w:val="en-ZA"/>
        </w:rPr>
        <w:t>ould be considered:</w:t>
      </w:r>
    </w:p>
    <w:p w14:paraId="5D86215C" w14:textId="43A12842" w:rsidR="00EA0297" w:rsidRDefault="007A499A" w:rsidP="002326D6">
      <w:pPr>
        <w:pStyle w:val="Heading2"/>
        <w:numPr>
          <w:ilvl w:val="0"/>
          <w:numId w:val="0"/>
        </w:numPr>
        <w:rPr>
          <w:lang w:val="en-ZA"/>
        </w:rPr>
      </w:pPr>
      <w:r w:rsidRPr="002326D6">
        <w:t>Identification</w:t>
      </w:r>
      <w:r>
        <w:rPr>
          <w:lang w:val="en-ZA"/>
        </w:rPr>
        <w:t xml:space="preserve"> of development needs</w:t>
      </w:r>
    </w:p>
    <w:p w14:paraId="56ADA646" w14:textId="4FA3F844" w:rsidR="00C93F1E" w:rsidRDefault="009533D2" w:rsidP="001B3EF7">
      <w:pPr>
        <w:rPr>
          <w:lang w:val="en-ZA"/>
        </w:rPr>
      </w:pPr>
      <w:r>
        <w:rPr>
          <w:lang w:val="en-ZA"/>
        </w:rPr>
        <w:t xml:space="preserve">Institutions should provide clear guidance about the avenues </w:t>
      </w:r>
      <w:r w:rsidR="00B53A62">
        <w:rPr>
          <w:lang w:val="en-ZA"/>
        </w:rPr>
        <w:t xml:space="preserve">that will be used to identify development needs among staff. Such avenues might include </w:t>
      </w:r>
      <w:r w:rsidR="00DC2374">
        <w:rPr>
          <w:lang w:val="en-ZA"/>
        </w:rPr>
        <w:t xml:space="preserve">identifying development needs when drafting the Personal </w:t>
      </w:r>
      <w:r w:rsidR="00C93F1E">
        <w:rPr>
          <w:lang w:val="en-ZA"/>
        </w:rPr>
        <w:t>Development Plan</w:t>
      </w:r>
      <w:r w:rsidR="00DC2374">
        <w:rPr>
          <w:lang w:val="en-ZA"/>
        </w:rPr>
        <w:t xml:space="preserve"> shortly after commencing the appointment</w:t>
      </w:r>
      <w:r w:rsidR="000A1CB9">
        <w:rPr>
          <w:lang w:val="en-ZA"/>
        </w:rPr>
        <w:t>,</w:t>
      </w:r>
      <w:r w:rsidR="00DC2374">
        <w:rPr>
          <w:lang w:val="en-ZA"/>
        </w:rPr>
        <w:t xml:space="preserve"> </w:t>
      </w:r>
      <w:r w:rsidR="0002646B">
        <w:rPr>
          <w:lang w:val="en-ZA"/>
        </w:rPr>
        <w:t>during per</w:t>
      </w:r>
      <w:r w:rsidR="00C93F1E">
        <w:rPr>
          <w:lang w:val="en-ZA"/>
        </w:rPr>
        <w:t xml:space="preserve">formance </w:t>
      </w:r>
      <w:r w:rsidR="0002646B">
        <w:rPr>
          <w:lang w:val="en-ZA"/>
        </w:rPr>
        <w:t>m</w:t>
      </w:r>
      <w:r w:rsidR="00C93F1E">
        <w:rPr>
          <w:lang w:val="en-ZA"/>
        </w:rPr>
        <w:t>anagement</w:t>
      </w:r>
      <w:r w:rsidR="0002646B">
        <w:rPr>
          <w:lang w:val="en-ZA"/>
        </w:rPr>
        <w:t xml:space="preserve"> discussions and assessments</w:t>
      </w:r>
      <w:r w:rsidR="00AA31BF">
        <w:rPr>
          <w:lang w:val="en-ZA"/>
        </w:rPr>
        <w:t xml:space="preserve">, or through other </w:t>
      </w:r>
      <w:r w:rsidR="00C93F1E">
        <w:rPr>
          <w:lang w:val="en-ZA"/>
        </w:rPr>
        <w:t>avenues</w:t>
      </w:r>
      <w:r w:rsidR="000A1CB9">
        <w:rPr>
          <w:lang w:val="en-ZA"/>
        </w:rPr>
        <w:t xml:space="preserve"> such as</w:t>
      </w:r>
      <w:r w:rsidR="00AA31BF">
        <w:rPr>
          <w:lang w:val="en-ZA"/>
        </w:rPr>
        <w:t xml:space="preserve"> </w:t>
      </w:r>
      <w:r w:rsidR="00B17F3E">
        <w:rPr>
          <w:lang w:val="en-ZA"/>
        </w:rPr>
        <w:t>self-identification</w:t>
      </w:r>
      <w:r w:rsidR="009F3C7B">
        <w:rPr>
          <w:lang w:val="en-ZA"/>
        </w:rPr>
        <w:t xml:space="preserve"> or </w:t>
      </w:r>
      <w:r w:rsidR="000A1CB9">
        <w:rPr>
          <w:lang w:val="en-ZA"/>
        </w:rPr>
        <w:t xml:space="preserve">the </w:t>
      </w:r>
      <w:r w:rsidR="009F3C7B">
        <w:rPr>
          <w:lang w:val="en-ZA"/>
        </w:rPr>
        <w:t xml:space="preserve">requirements </w:t>
      </w:r>
      <w:r w:rsidR="004F79D0">
        <w:rPr>
          <w:lang w:val="en-ZA"/>
        </w:rPr>
        <w:t xml:space="preserve">of professional boards for CPD. </w:t>
      </w:r>
    </w:p>
    <w:p w14:paraId="53C72762" w14:textId="4E4CD994" w:rsidR="005525EA" w:rsidRDefault="005525EA" w:rsidP="002326D6">
      <w:pPr>
        <w:pStyle w:val="Heading2"/>
        <w:numPr>
          <w:ilvl w:val="0"/>
          <w:numId w:val="0"/>
        </w:numPr>
        <w:rPr>
          <w:lang w:val="en-ZA"/>
        </w:rPr>
      </w:pPr>
      <w:r>
        <w:rPr>
          <w:lang w:val="en-ZA"/>
        </w:rPr>
        <w:t xml:space="preserve">Financing </w:t>
      </w:r>
      <w:r w:rsidR="00196FD8">
        <w:rPr>
          <w:lang w:val="en-ZA"/>
        </w:rPr>
        <w:t>and approval processes</w:t>
      </w:r>
    </w:p>
    <w:p w14:paraId="51B4C742" w14:textId="0809ADD9" w:rsidR="00196FD8" w:rsidRDefault="00196FD8" w:rsidP="00196FD8">
      <w:pPr>
        <w:rPr>
          <w:lang w:val="en-ZA"/>
        </w:rPr>
      </w:pPr>
      <w:r>
        <w:rPr>
          <w:lang w:val="en-ZA"/>
        </w:rPr>
        <w:t>This section should have clear instructions on</w:t>
      </w:r>
      <w:r w:rsidR="00B668B8">
        <w:rPr>
          <w:lang w:val="en-ZA"/>
        </w:rPr>
        <w:t xml:space="preserve"> which training and development </w:t>
      </w:r>
      <w:r w:rsidR="000A1CB9">
        <w:rPr>
          <w:lang w:val="en-ZA"/>
        </w:rPr>
        <w:t xml:space="preserve">opportunities are </w:t>
      </w:r>
      <w:r w:rsidR="00B668B8">
        <w:rPr>
          <w:lang w:val="en-ZA"/>
        </w:rPr>
        <w:t xml:space="preserve">funded fully, partly, or not funded </w:t>
      </w:r>
      <w:r w:rsidR="000A1CB9">
        <w:rPr>
          <w:lang w:val="en-ZA"/>
        </w:rPr>
        <w:t xml:space="preserve">at all </w:t>
      </w:r>
      <w:r w:rsidR="00B668B8">
        <w:rPr>
          <w:lang w:val="en-ZA"/>
        </w:rPr>
        <w:t xml:space="preserve">by the institution. </w:t>
      </w:r>
      <w:r w:rsidR="00AB635A">
        <w:rPr>
          <w:lang w:val="en-ZA"/>
        </w:rPr>
        <w:t xml:space="preserve">For example, </w:t>
      </w:r>
      <w:r w:rsidR="001619EC">
        <w:rPr>
          <w:lang w:val="en-ZA"/>
        </w:rPr>
        <w:t>formal qualifications</w:t>
      </w:r>
      <w:r w:rsidR="00287DA8">
        <w:rPr>
          <w:lang w:val="en-ZA"/>
        </w:rPr>
        <w:t xml:space="preserve"> or training programs</w:t>
      </w:r>
      <w:r w:rsidR="001619EC">
        <w:rPr>
          <w:lang w:val="en-ZA"/>
        </w:rPr>
        <w:t xml:space="preserve"> not </w:t>
      </w:r>
      <w:r w:rsidR="001C21A1">
        <w:rPr>
          <w:lang w:val="en-ZA"/>
        </w:rPr>
        <w:t xml:space="preserve">directly </w:t>
      </w:r>
      <w:r w:rsidR="001619EC">
        <w:rPr>
          <w:lang w:val="en-ZA"/>
        </w:rPr>
        <w:t xml:space="preserve">related to </w:t>
      </w:r>
      <w:r w:rsidR="001A4B63">
        <w:rPr>
          <w:lang w:val="en-ZA"/>
        </w:rPr>
        <w:t>job descriptions are often not funded</w:t>
      </w:r>
      <w:r w:rsidR="000C4B1F">
        <w:rPr>
          <w:lang w:val="en-ZA"/>
        </w:rPr>
        <w:t>.</w:t>
      </w:r>
      <w:r w:rsidR="00287DA8">
        <w:rPr>
          <w:lang w:val="en-ZA"/>
        </w:rPr>
        <w:t xml:space="preserve"> </w:t>
      </w:r>
      <w:r w:rsidR="00622A9A">
        <w:rPr>
          <w:lang w:val="en-ZA"/>
        </w:rPr>
        <w:t xml:space="preserve">If possible, funding allocations can be further specified by </w:t>
      </w:r>
      <w:r w:rsidR="00A81EAC">
        <w:rPr>
          <w:lang w:val="en-ZA"/>
        </w:rPr>
        <w:t xml:space="preserve">indicating inclusion or exclusion criteria, such as </w:t>
      </w:r>
      <w:r w:rsidR="00A81EAC">
        <w:rPr>
          <w:lang w:val="en-ZA"/>
        </w:rPr>
        <w:lastRenderedPageBreak/>
        <w:t xml:space="preserve">stipulating whether funding is limited to tuition fees, or whether </w:t>
      </w:r>
      <w:r w:rsidR="00A24977">
        <w:rPr>
          <w:lang w:val="en-ZA"/>
        </w:rPr>
        <w:t xml:space="preserve">extras such as </w:t>
      </w:r>
      <w:r w:rsidR="00A81EAC">
        <w:rPr>
          <w:lang w:val="en-ZA"/>
        </w:rPr>
        <w:t>travel</w:t>
      </w:r>
      <w:r w:rsidR="00A24977">
        <w:rPr>
          <w:lang w:val="en-ZA"/>
        </w:rPr>
        <w:t xml:space="preserve"> and relevant equipment are included/excluded. </w:t>
      </w:r>
      <w:r w:rsidR="00CE791C">
        <w:rPr>
          <w:lang w:val="en-ZA"/>
        </w:rPr>
        <w:t xml:space="preserve">Cost limits should also be included. </w:t>
      </w:r>
    </w:p>
    <w:p w14:paraId="0B63DA52" w14:textId="77777777" w:rsidR="003016D1" w:rsidRDefault="003016D1" w:rsidP="00196FD8">
      <w:pPr>
        <w:rPr>
          <w:lang w:val="en-ZA"/>
        </w:rPr>
      </w:pPr>
    </w:p>
    <w:p w14:paraId="79BD621A" w14:textId="4122C0AB" w:rsidR="003016D1" w:rsidRDefault="003016D1" w:rsidP="00196FD8">
      <w:pPr>
        <w:rPr>
          <w:lang w:val="en-ZA"/>
        </w:rPr>
      </w:pPr>
      <w:r>
        <w:rPr>
          <w:lang w:val="en-ZA"/>
        </w:rPr>
        <w:t xml:space="preserve">Approval processes also </w:t>
      </w:r>
      <w:proofErr w:type="gramStart"/>
      <w:r>
        <w:rPr>
          <w:lang w:val="en-ZA"/>
        </w:rPr>
        <w:t>have to</w:t>
      </w:r>
      <w:proofErr w:type="gramEnd"/>
      <w:r>
        <w:rPr>
          <w:lang w:val="en-ZA"/>
        </w:rPr>
        <w:t xml:space="preserve"> be clearly outlined, along with the conditions that shape </w:t>
      </w:r>
      <w:r w:rsidR="009B1AC7">
        <w:rPr>
          <w:lang w:val="en-ZA"/>
        </w:rPr>
        <w:t xml:space="preserve">participation in training and development opportunities. </w:t>
      </w:r>
    </w:p>
    <w:p w14:paraId="43E6FC4A" w14:textId="7DEA7ADF" w:rsidR="00DA4518" w:rsidRDefault="00DA4518" w:rsidP="002326D6">
      <w:pPr>
        <w:pStyle w:val="Heading2"/>
        <w:numPr>
          <w:ilvl w:val="0"/>
          <w:numId w:val="0"/>
        </w:numPr>
        <w:rPr>
          <w:lang w:val="en-ZA"/>
        </w:rPr>
      </w:pPr>
      <w:r>
        <w:rPr>
          <w:lang w:val="en-ZA"/>
        </w:rPr>
        <w:t>Available training and development opportunities</w:t>
      </w:r>
    </w:p>
    <w:p w14:paraId="5E414719" w14:textId="16443EB8" w:rsidR="00DA4518" w:rsidRDefault="009B1AC7" w:rsidP="001B3EF7">
      <w:pPr>
        <w:rPr>
          <w:lang w:val="en-ZA"/>
        </w:rPr>
      </w:pPr>
      <w:r>
        <w:rPr>
          <w:lang w:val="en-ZA"/>
        </w:rPr>
        <w:t xml:space="preserve">A list of training and development opportunities </w:t>
      </w:r>
      <w:r w:rsidR="00914A41">
        <w:rPr>
          <w:lang w:val="en-ZA"/>
        </w:rPr>
        <w:t>that have been approved and are readily available to staff should be provided</w:t>
      </w:r>
      <w:r w:rsidR="00A654E1">
        <w:rPr>
          <w:lang w:val="en-ZA"/>
        </w:rPr>
        <w:t xml:space="preserve">. This may include courses related to developing competencies, such as leadership or management courses, </w:t>
      </w:r>
      <w:r w:rsidR="00A972F8">
        <w:rPr>
          <w:lang w:val="en-ZA"/>
        </w:rPr>
        <w:t xml:space="preserve">digital literacy courses, professional communication </w:t>
      </w:r>
      <w:r w:rsidR="00373900">
        <w:rPr>
          <w:lang w:val="en-ZA"/>
        </w:rPr>
        <w:t xml:space="preserve">courses, and so forth. </w:t>
      </w:r>
      <w:r w:rsidR="009760E1">
        <w:rPr>
          <w:lang w:val="en-ZA"/>
        </w:rPr>
        <w:t>It is also important to differentiate between the different types of training and development opportunities</w:t>
      </w:r>
      <w:r w:rsidR="005F2D4A">
        <w:rPr>
          <w:lang w:val="en-ZA"/>
        </w:rPr>
        <w:t xml:space="preserve"> and any conditions associated with participation in </w:t>
      </w:r>
      <w:r w:rsidR="000A1CB9">
        <w:rPr>
          <w:lang w:val="en-ZA"/>
        </w:rPr>
        <w:t>them</w:t>
      </w:r>
      <w:r w:rsidR="005F2D4A">
        <w:rPr>
          <w:lang w:val="en-ZA"/>
        </w:rPr>
        <w:t xml:space="preserve"> (e.g., opportunities leading to certification/</w:t>
      </w:r>
      <w:r w:rsidR="00DA1A50">
        <w:rPr>
          <w:lang w:val="en-ZA"/>
        </w:rPr>
        <w:t>qualifications, attending workshops/conferences/webinars/short courses, staff exchange</w:t>
      </w:r>
      <w:r w:rsidR="00715738">
        <w:rPr>
          <w:lang w:val="en-ZA"/>
        </w:rPr>
        <w:t xml:space="preserve"> </w:t>
      </w:r>
      <w:r w:rsidR="00DA1A50">
        <w:rPr>
          <w:lang w:val="en-ZA"/>
        </w:rPr>
        <w:t>/</w:t>
      </w:r>
      <w:r w:rsidR="00715738">
        <w:rPr>
          <w:lang w:val="en-ZA"/>
        </w:rPr>
        <w:t xml:space="preserve"> </w:t>
      </w:r>
      <w:r w:rsidR="00D80C1E">
        <w:rPr>
          <w:lang w:val="en-ZA"/>
        </w:rPr>
        <w:t>visiting fellowship</w:t>
      </w:r>
      <w:r w:rsidR="00DA1A50">
        <w:rPr>
          <w:lang w:val="en-ZA"/>
        </w:rPr>
        <w:t xml:space="preserve"> opportunities, and so forth).</w:t>
      </w:r>
      <w:r w:rsidR="004F79D0">
        <w:rPr>
          <w:lang w:val="en-ZA"/>
        </w:rPr>
        <w:t xml:space="preserve"> </w:t>
      </w:r>
    </w:p>
    <w:p w14:paraId="70D9E281" w14:textId="77777777" w:rsidR="00ED3DEA" w:rsidRDefault="00ED3DEA" w:rsidP="001B3EF7">
      <w:pPr>
        <w:rPr>
          <w:lang w:val="en-ZA"/>
        </w:rPr>
      </w:pPr>
    </w:p>
    <w:p w14:paraId="549B507A" w14:textId="565F16B7" w:rsidR="00ED3DEA" w:rsidRDefault="00ED3DEA" w:rsidP="001B3EF7">
      <w:pPr>
        <w:rPr>
          <w:lang w:val="en-ZA"/>
        </w:rPr>
      </w:pPr>
      <w:r>
        <w:rPr>
          <w:lang w:val="en-ZA"/>
        </w:rPr>
        <w:t xml:space="preserve">The policy should also be clear about conditions </w:t>
      </w:r>
      <w:r w:rsidR="00615B6B">
        <w:rPr>
          <w:lang w:val="en-ZA"/>
        </w:rPr>
        <w:t xml:space="preserve">determining engagements in </w:t>
      </w:r>
      <w:r>
        <w:rPr>
          <w:lang w:val="en-ZA"/>
        </w:rPr>
        <w:t xml:space="preserve">internal vs. external </w:t>
      </w:r>
      <w:r w:rsidR="00615B6B">
        <w:rPr>
          <w:lang w:val="en-ZA"/>
        </w:rPr>
        <w:t>training and development opportunities (</w:t>
      </w:r>
      <w:r w:rsidR="00715738">
        <w:rPr>
          <w:lang w:val="en-ZA"/>
        </w:rPr>
        <w:t>e.g.</w:t>
      </w:r>
      <w:r w:rsidR="00615B6B">
        <w:rPr>
          <w:lang w:val="en-ZA"/>
        </w:rPr>
        <w:t xml:space="preserve">, </w:t>
      </w:r>
      <w:r w:rsidR="00E725ED">
        <w:rPr>
          <w:lang w:val="en-ZA"/>
        </w:rPr>
        <w:t>tuition fees for qualifications</w:t>
      </w:r>
      <w:r w:rsidR="00715738">
        <w:rPr>
          <w:lang w:val="en-ZA"/>
        </w:rPr>
        <w:t xml:space="preserve"> </w:t>
      </w:r>
      <w:r w:rsidR="00FF6E10">
        <w:rPr>
          <w:lang w:val="en-ZA"/>
        </w:rPr>
        <w:t>/</w:t>
      </w:r>
      <w:r w:rsidR="00715738">
        <w:rPr>
          <w:lang w:val="en-ZA"/>
        </w:rPr>
        <w:t xml:space="preserve"> </w:t>
      </w:r>
      <w:r w:rsidR="00FF6E10">
        <w:rPr>
          <w:lang w:val="en-ZA"/>
        </w:rPr>
        <w:t xml:space="preserve">other opportunities </w:t>
      </w:r>
      <w:r w:rsidR="00E725ED">
        <w:rPr>
          <w:lang w:val="en-ZA"/>
        </w:rPr>
        <w:t xml:space="preserve">at home institutions are often discounted or </w:t>
      </w:r>
      <w:r w:rsidR="005B7D94">
        <w:rPr>
          <w:lang w:val="en-ZA"/>
        </w:rPr>
        <w:t>wa</w:t>
      </w:r>
      <w:r w:rsidR="00FF6E10">
        <w:rPr>
          <w:lang w:val="en-ZA"/>
        </w:rPr>
        <w:t>i</w:t>
      </w:r>
      <w:r w:rsidR="005B7D94">
        <w:rPr>
          <w:lang w:val="en-ZA"/>
        </w:rPr>
        <w:t>ved</w:t>
      </w:r>
      <w:r w:rsidR="00715738">
        <w:rPr>
          <w:lang w:val="en-ZA"/>
        </w:rPr>
        <w:t>.</w:t>
      </w:r>
      <w:r w:rsidR="005B7D94">
        <w:rPr>
          <w:lang w:val="en-ZA"/>
        </w:rPr>
        <w:t xml:space="preserve"> </w:t>
      </w:r>
      <w:r w:rsidR="00715738">
        <w:rPr>
          <w:lang w:val="en-ZA"/>
        </w:rPr>
        <w:t>H</w:t>
      </w:r>
      <w:r w:rsidR="005B7D94">
        <w:rPr>
          <w:lang w:val="en-ZA"/>
        </w:rPr>
        <w:t xml:space="preserve">owever, </w:t>
      </w:r>
      <w:r w:rsidR="00D203D8">
        <w:rPr>
          <w:lang w:val="en-ZA"/>
        </w:rPr>
        <w:t>home institutions might not offer certain qualifications</w:t>
      </w:r>
      <w:r w:rsidR="00715738">
        <w:rPr>
          <w:lang w:val="en-ZA"/>
        </w:rPr>
        <w:t xml:space="preserve"> </w:t>
      </w:r>
      <w:r w:rsidR="009760E1">
        <w:rPr>
          <w:lang w:val="en-ZA"/>
        </w:rPr>
        <w:t>/</w:t>
      </w:r>
      <w:r w:rsidR="00715738">
        <w:rPr>
          <w:lang w:val="en-ZA"/>
        </w:rPr>
        <w:t xml:space="preserve"> </w:t>
      </w:r>
      <w:r w:rsidR="009760E1">
        <w:rPr>
          <w:lang w:val="en-ZA"/>
        </w:rPr>
        <w:t>training opportunities</w:t>
      </w:r>
      <w:r w:rsidR="00D203D8">
        <w:rPr>
          <w:lang w:val="en-ZA"/>
        </w:rPr>
        <w:t xml:space="preserve">, compelling staff to turn to other institutions). </w:t>
      </w:r>
    </w:p>
    <w:p w14:paraId="1ECD43CD" w14:textId="77777777" w:rsidR="00934F4F" w:rsidRDefault="00934F4F" w:rsidP="001B3EF7">
      <w:pPr>
        <w:rPr>
          <w:lang w:val="en-ZA"/>
        </w:rPr>
      </w:pPr>
    </w:p>
    <w:p w14:paraId="21B8A3FB" w14:textId="71ED196B" w:rsidR="00934F4F" w:rsidRDefault="00934F4F" w:rsidP="00934F4F">
      <w:pPr>
        <w:rPr>
          <w:lang w:val="en-ZA"/>
        </w:rPr>
      </w:pPr>
      <w:r>
        <w:rPr>
          <w:lang w:val="en-ZA"/>
        </w:rPr>
        <w:t xml:space="preserve">An important addition is to provide incentives or motivation for staff to engage in training and development, which might include </w:t>
      </w:r>
      <w:r w:rsidR="00803BB2">
        <w:rPr>
          <w:lang w:val="en-ZA"/>
        </w:rPr>
        <w:t xml:space="preserve">time off (through </w:t>
      </w:r>
      <w:r>
        <w:rPr>
          <w:lang w:val="en-ZA"/>
        </w:rPr>
        <w:t>special leave)</w:t>
      </w:r>
      <w:r w:rsidR="00803BB2">
        <w:rPr>
          <w:lang w:val="en-ZA"/>
        </w:rPr>
        <w:t xml:space="preserve">, CPD recognition for advancement in disciplines, Teaching and Learning </w:t>
      </w:r>
      <w:r>
        <w:rPr>
          <w:lang w:val="en-ZA"/>
        </w:rPr>
        <w:t>awards for innovative pedagogical efforts</w:t>
      </w:r>
      <w:r w:rsidR="00803BB2">
        <w:rPr>
          <w:lang w:val="en-ZA"/>
        </w:rPr>
        <w:t>, or</w:t>
      </w:r>
      <w:r w:rsidR="002326D6">
        <w:rPr>
          <w:lang w:val="en-ZA"/>
        </w:rPr>
        <w:t xml:space="preserve"> </w:t>
      </w:r>
      <w:r>
        <w:rPr>
          <w:lang w:val="en-ZA"/>
        </w:rPr>
        <w:t>career progression initiatives linked to CPD</w:t>
      </w:r>
      <w:r w:rsidR="00803BB2">
        <w:rPr>
          <w:lang w:val="en-ZA"/>
        </w:rPr>
        <w:t xml:space="preserve"> or other development efforts</w:t>
      </w:r>
      <w:r>
        <w:rPr>
          <w:lang w:val="en-ZA"/>
        </w:rPr>
        <w:t xml:space="preserve">. </w:t>
      </w:r>
    </w:p>
    <w:p w14:paraId="1BEF4F10" w14:textId="7D87947F" w:rsidR="00685D90" w:rsidRDefault="00496C0F" w:rsidP="002326D6">
      <w:pPr>
        <w:pStyle w:val="Heading2"/>
        <w:numPr>
          <w:ilvl w:val="0"/>
          <w:numId w:val="0"/>
        </w:numPr>
        <w:rPr>
          <w:lang w:val="en-ZA"/>
        </w:rPr>
      </w:pPr>
      <w:r>
        <w:rPr>
          <w:lang w:val="en-ZA"/>
        </w:rPr>
        <w:t>Rules/conditions of participating in training and development</w:t>
      </w:r>
    </w:p>
    <w:p w14:paraId="4FF28FB6" w14:textId="513E4D94" w:rsidR="00A71258" w:rsidRDefault="00803BB2" w:rsidP="00CA2738">
      <w:pPr>
        <w:rPr>
          <w:b/>
          <w:bCs/>
          <w:lang w:val="en-ZA"/>
        </w:rPr>
      </w:pPr>
      <w:r>
        <w:rPr>
          <w:lang w:val="en-ZA"/>
        </w:rPr>
        <w:t>Eligibility criteria and a</w:t>
      </w:r>
      <w:r w:rsidR="00E05EAC">
        <w:rPr>
          <w:lang w:val="en-ZA"/>
        </w:rPr>
        <w:t xml:space="preserve">ny </w:t>
      </w:r>
      <w:r w:rsidR="00447C77">
        <w:rPr>
          <w:lang w:val="en-ZA"/>
        </w:rPr>
        <w:t>additional conditions/rules of participation in training and development</w:t>
      </w:r>
      <w:r w:rsidR="00ED6036">
        <w:rPr>
          <w:lang w:val="en-ZA"/>
        </w:rPr>
        <w:t xml:space="preserve"> (including CPD)</w:t>
      </w:r>
      <w:r w:rsidR="00447C77">
        <w:rPr>
          <w:lang w:val="en-ZA"/>
        </w:rPr>
        <w:t xml:space="preserve"> should be listed here</w:t>
      </w:r>
      <w:r w:rsidR="00715738">
        <w:rPr>
          <w:lang w:val="en-ZA"/>
        </w:rPr>
        <w:t>.</w:t>
      </w:r>
      <w:r w:rsidR="00447C77">
        <w:rPr>
          <w:lang w:val="en-ZA"/>
        </w:rPr>
        <w:t xml:space="preserve"> </w:t>
      </w:r>
      <w:r w:rsidR="00715738">
        <w:rPr>
          <w:lang w:val="en-ZA"/>
        </w:rPr>
        <w:t>T</w:t>
      </w:r>
      <w:r w:rsidR="00447C77">
        <w:rPr>
          <w:lang w:val="en-ZA"/>
        </w:rPr>
        <w:t xml:space="preserve">his may include listing the responsibilities of staff (e.g., </w:t>
      </w:r>
      <w:r w:rsidR="008B3A0E">
        <w:rPr>
          <w:lang w:val="en-ZA"/>
        </w:rPr>
        <w:t>submitting reports)</w:t>
      </w:r>
      <w:r w:rsidR="00F61161">
        <w:rPr>
          <w:lang w:val="en-ZA"/>
        </w:rPr>
        <w:t>;</w:t>
      </w:r>
      <w:r w:rsidR="008B3A0E">
        <w:rPr>
          <w:lang w:val="en-ZA"/>
        </w:rPr>
        <w:t xml:space="preserve"> work</w:t>
      </w:r>
      <w:r w:rsidR="00715738">
        <w:rPr>
          <w:lang w:val="en-ZA"/>
        </w:rPr>
        <w:t>-</w:t>
      </w:r>
      <w:r w:rsidR="008B3A0E">
        <w:rPr>
          <w:lang w:val="en-ZA"/>
        </w:rPr>
        <w:t xml:space="preserve">back agreements (e.g., working back 6 months for </w:t>
      </w:r>
      <w:r w:rsidR="00367136">
        <w:rPr>
          <w:lang w:val="en-ZA"/>
        </w:rPr>
        <w:t xml:space="preserve">a short course attended or conference attended); </w:t>
      </w:r>
      <w:r w:rsidR="00CE791C">
        <w:rPr>
          <w:lang w:val="en-ZA"/>
        </w:rPr>
        <w:t>stipulating the number of hours/days of training and development allowed per annual cycle; what the l</w:t>
      </w:r>
      <w:r w:rsidR="00B7542D">
        <w:rPr>
          <w:lang w:val="en-ZA"/>
        </w:rPr>
        <w:t xml:space="preserve">imitations of </w:t>
      </w:r>
      <w:r w:rsidR="00CE791C">
        <w:rPr>
          <w:lang w:val="en-ZA"/>
        </w:rPr>
        <w:t xml:space="preserve">certain </w:t>
      </w:r>
      <w:r w:rsidR="00B7542D">
        <w:rPr>
          <w:lang w:val="en-ZA"/>
        </w:rPr>
        <w:t>appointment</w:t>
      </w:r>
      <w:r w:rsidR="00CE791C">
        <w:rPr>
          <w:lang w:val="en-ZA"/>
        </w:rPr>
        <w:t xml:space="preserve"> categories are</w:t>
      </w:r>
      <w:r w:rsidR="00B7542D">
        <w:rPr>
          <w:lang w:val="en-ZA"/>
        </w:rPr>
        <w:t xml:space="preserve"> (e.g.</w:t>
      </w:r>
      <w:r w:rsidR="00715738">
        <w:rPr>
          <w:lang w:val="en-ZA"/>
        </w:rPr>
        <w:t>,</w:t>
      </w:r>
      <w:r w:rsidR="00B7542D">
        <w:rPr>
          <w:lang w:val="en-ZA"/>
        </w:rPr>
        <w:t xml:space="preserve"> </w:t>
      </w:r>
      <w:r w:rsidR="00715738">
        <w:rPr>
          <w:lang w:val="en-ZA"/>
        </w:rPr>
        <w:t>certain</w:t>
      </w:r>
      <w:r w:rsidR="00B7542D">
        <w:rPr>
          <w:lang w:val="en-ZA"/>
        </w:rPr>
        <w:t xml:space="preserve"> opportunities only available to academic staff)</w:t>
      </w:r>
      <w:r w:rsidR="00CE791C">
        <w:rPr>
          <w:lang w:val="en-ZA"/>
        </w:rPr>
        <w:t xml:space="preserve">; and </w:t>
      </w:r>
      <w:r w:rsidR="00F61161">
        <w:rPr>
          <w:lang w:val="en-ZA"/>
        </w:rPr>
        <w:t>identifying which training and development opportunities are c</w:t>
      </w:r>
      <w:r w:rsidR="001F0FF5">
        <w:rPr>
          <w:lang w:val="en-ZA"/>
        </w:rPr>
        <w:t>ompulsory if identified through PM</w:t>
      </w:r>
      <w:r w:rsidR="00ED6036">
        <w:rPr>
          <w:lang w:val="en-ZA"/>
        </w:rPr>
        <w:t>, professional bodies,</w:t>
      </w:r>
      <w:r w:rsidR="00F61161">
        <w:rPr>
          <w:lang w:val="en-ZA"/>
        </w:rPr>
        <w:t xml:space="preserve"> or other formal means. </w:t>
      </w:r>
    </w:p>
    <w:p w14:paraId="77F98BF3" w14:textId="55C18941" w:rsidR="00A71258" w:rsidRDefault="001F0FF5" w:rsidP="002326D6">
      <w:pPr>
        <w:pStyle w:val="Heading2"/>
        <w:numPr>
          <w:ilvl w:val="0"/>
          <w:numId w:val="0"/>
        </w:numPr>
        <w:rPr>
          <w:lang w:val="en-ZA"/>
        </w:rPr>
      </w:pPr>
      <w:r>
        <w:rPr>
          <w:lang w:val="en-ZA"/>
        </w:rPr>
        <w:t>Policy implementation</w:t>
      </w:r>
    </w:p>
    <w:p w14:paraId="471599E5" w14:textId="5616816B" w:rsidR="00E05EAC" w:rsidRDefault="00E05EAC" w:rsidP="00E05EAC">
      <w:r>
        <w:t xml:space="preserve">The Staff Development policy should have clear guidelines on how the policy will be implemented, how monitoring and evaluation will take place, and when it should be reviewed. </w:t>
      </w:r>
    </w:p>
    <w:p w14:paraId="4CA18DDF" w14:textId="4EEDA76D" w:rsidR="002749EE" w:rsidRDefault="002749EE">
      <w:pPr>
        <w:spacing w:after="200" w:line="276" w:lineRule="auto"/>
        <w:jc w:val="left"/>
        <w:rPr>
          <w:b/>
          <w:bCs/>
          <w:lang w:val="en-ZA"/>
        </w:rPr>
      </w:pPr>
      <w:r>
        <w:rPr>
          <w:b/>
          <w:bCs/>
          <w:lang w:val="en-ZA"/>
        </w:rPr>
        <w:br w:type="page"/>
      </w:r>
    </w:p>
    <w:p w14:paraId="0E3CF125" w14:textId="0C352728" w:rsidR="00A71258" w:rsidRDefault="002749EE" w:rsidP="002749EE">
      <w:pPr>
        <w:pStyle w:val="Heading1"/>
      </w:pPr>
      <w:r>
        <w:lastRenderedPageBreak/>
        <w:t xml:space="preserve">Appendix </w:t>
      </w:r>
      <w:r w:rsidR="00204E59">
        <w:t>G</w:t>
      </w:r>
      <w:r>
        <w:t xml:space="preserve">: </w:t>
      </w:r>
      <w:r w:rsidR="007612C1">
        <w:t>Mental Health P</w:t>
      </w:r>
      <w:r>
        <w:t>olicy template</w:t>
      </w:r>
    </w:p>
    <w:p w14:paraId="2E5157A1" w14:textId="77777777" w:rsidR="002749EE" w:rsidRDefault="002749EE" w:rsidP="00CA2738">
      <w:pPr>
        <w:rPr>
          <w:b/>
          <w:bCs/>
          <w:lang w:val="en-ZA"/>
        </w:rPr>
      </w:pPr>
    </w:p>
    <w:p w14:paraId="70099753" w14:textId="7D321AD2" w:rsidR="00EA5BE7" w:rsidRDefault="00EA5BE7" w:rsidP="00EA5BE7">
      <w:pPr>
        <w:rPr>
          <w:lang w:val="en-ZA"/>
        </w:rPr>
      </w:pPr>
      <w:r>
        <w:rPr>
          <w:lang w:val="en-ZA"/>
        </w:rPr>
        <w:t xml:space="preserve">Initial headings will be determined by individual institutions, but will typically include </w:t>
      </w:r>
      <w:r w:rsidR="00715738">
        <w:rPr>
          <w:lang w:val="en-ZA"/>
        </w:rPr>
        <w:t xml:space="preserve">the following </w:t>
      </w:r>
      <w:r>
        <w:rPr>
          <w:lang w:val="en-ZA"/>
        </w:rPr>
        <w:t>sections:</w:t>
      </w:r>
    </w:p>
    <w:p w14:paraId="2F08B7F2" w14:textId="458AB536" w:rsidR="006C010C" w:rsidRPr="006C010C" w:rsidRDefault="00EA5BE7" w:rsidP="00D80C1E">
      <w:pPr>
        <w:pStyle w:val="ListParagraph"/>
        <w:numPr>
          <w:ilvl w:val="0"/>
          <w:numId w:val="33"/>
        </w:numPr>
        <w:rPr>
          <w:lang w:val="en-ZA"/>
        </w:rPr>
      </w:pPr>
      <w:r w:rsidRPr="007021EB">
        <w:rPr>
          <w:b/>
          <w:bCs/>
          <w:lang w:val="en-ZA"/>
        </w:rPr>
        <w:t>Introduction/Background</w:t>
      </w:r>
      <w:r w:rsidRPr="007021EB">
        <w:rPr>
          <w:lang w:val="en-ZA"/>
        </w:rPr>
        <w:t xml:space="preserve">: The introduction section might include statements on the </w:t>
      </w:r>
      <w:r w:rsidR="008F6646" w:rsidRPr="007021EB">
        <w:rPr>
          <w:lang w:val="en-ZA"/>
        </w:rPr>
        <w:t>institution’s</w:t>
      </w:r>
      <w:r w:rsidR="00B763CC">
        <w:rPr>
          <w:lang w:val="en-ZA"/>
        </w:rPr>
        <w:t xml:space="preserve"> recognition of the importance of a holistic approach to </w:t>
      </w:r>
      <w:r w:rsidR="00664ACC">
        <w:rPr>
          <w:lang w:val="en-ZA"/>
        </w:rPr>
        <w:t>the health of employees, and its</w:t>
      </w:r>
      <w:r w:rsidR="008F6646" w:rsidRPr="007021EB">
        <w:rPr>
          <w:lang w:val="en-ZA"/>
        </w:rPr>
        <w:t xml:space="preserve"> commitment to provid</w:t>
      </w:r>
      <w:r w:rsidR="00715738">
        <w:rPr>
          <w:lang w:val="en-ZA"/>
        </w:rPr>
        <w:t>ing</w:t>
      </w:r>
      <w:r w:rsidR="009E38C2">
        <w:rPr>
          <w:lang w:val="en-ZA"/>
        </w:rPr>
        <w:t xml:space="preserve"> mental health support </w:t>
      </w:r>
      <w:r w:rsidR="00664ACC">
        <w:rPr>
          <w:lang w:val="en-ZA"/>
        </w:rPr>
        <w:t>to staff</w:t>
      </w:r>
      <w:r w:rsidR="007021EB">
        <w:rPr>
          <w:lang w:val="en-ZA"/>
        </w:rPr>
        <w:t xml:space="preserve">. </w:t>
      </w:r>
    </w:p>
    <w:p w14:paraId="24F5E479" w14:textId="0D510B01" w:rsidR="00EA5BE7" w:rsidRDefault="00EA5BE7" w:rsidP="00D80C1E">
      <w:pPr>
        <w:pStyle w:val="ListParagraph"/>
        <w:numPr>
          <w:ilvl w:val="0"/>
          <w:numId w:val="33"/>
        </w:numPr>
        <w:rPr>
          <w:lang w:val="en-ZA"/>
        </w:rPr>
      </w:pPr>
      <w:r w:rsidRPr="007D28A8">
        <w:rPr>
          <w:b/>
          <w:bCs/>
          <w:lang w:val="en-ZA"/>
        </w:rPr>
        <w:t>Definitions</w:t>
      </w:r>
      <w:r>
        <w:rPr>
          <w:lang w:val="en-ZA"/>
        </w:rPr>
        <w:t>: Typical terms that might need clarifying in this context include</w:t>
      </w:r>
      <w:r w:rsidR="0047680E">
        <w:rPr>
          <w:lang w:val="en-ZA"/>
        </w:rPr>
        <w:t xml:space="preserve"> staff (academic, professional, </w:t>
      </w:r>
      <w:r w:rsidR="006169D5">
        <w:rPr>
          <w:lang w:val="en-ZA"/>
        </w:rPr>
        <w:t>administrative</w:t>
      </w:r>
      <w:r w:rsidR="0047680E">
        <w:rPr>
          <w:lang w:val="en-ZA"/>
        </w:rPr>
        <w:t>),</w:t>
      </w:r>
      <w:r w:rsidR="006169D5">
        <w:rPr>
          <w:lang w:val="en-ZA"/>
        </w:rPr>
        <w:t xml:space="preserve"> mental health, mental disorder, </w:t>
      </w:r>
      <w:r w:rsidR="0094729D">
        <w:rPr>
          <w:lang w:val="en-ZA"/>
        </w:rPr>
        <w:t xml:space="preserve">mental illness, </w:t>
      </w:r>
      <w:r w:rsidR="004F1F91">
        <w:rPr>
          <w:lang w:val="en-ZA"/>
        </w:rPr>
        <w:t xml:space="preserve">mental health practitioner, </w:t>
      </w:r>
      <w:r w:rsidR="00461865">
        <w:rPr>
          <w:lang w:val="en-ZA"/>
        </w:rPr>
        <w:t>reasonable accommodation</w:t>
      </w:r>
      <w:r>
        <w:rPr>
          <w:lang w:val="en-ZA"/>
        </w:rPr>
        <w:t>.</w:t>
      </w:r>
    </w:p>
    <w:p w14:paraId="084AC336" w14:textId="57EA7719" w:rsidR="00EA5BE7" w:rsidRDefault="00EA5BE7" w:rsidP="00D80C1E">
      <w:pPr>
        <w:pStyle w:val="ListParagraph"/>
        <w:numPr>
          <w:ilvl w:val="0"/>
          <w:numId w:val="33"/>
        </w:numPr>
        <w:rPr>
          <w:lang w:val="en-ZA"/>
        </w:rPr>
      </w:pPr>
      <w:r w:rsidRPr="00B55962">
        <w:rPr>
          <w:b/>
          <w:bCs/>
          <w:lang w:val="en-ZA"/>
        </w:rPr>
        <w:t>Scope</w:t>
      </w:r>
      <w:r>
        <w:rPr>
          <w:lang w:val="en-ZA"/>
        </w:rPr>
        <w:t xml:space="preserve">: The scope of the policy stipulates the intended audience to which the policy </w:t>
      </w:r>
      <w:r w:rsidR="00715738">
        <w:rPr>
          <w:lang w:val="en-ZA"/>
        </w:rPr>
        <w:t>applies</w:t>
      </w:r>
      <w:r>
        <w:rPr>
          <w:lang w:val="en-ZA"/>
        </w:rPr>
        <w:t xml:space="preserve">. </w:t>
      </w:r>
      <w:r w:rsidR="00126641">
        <w:rPr>
          <w:lang w:val="en-ZA"/>
        </w:rPr>
        <w:t>In this instance, a mental health policy focuses on all staff members of the institution</w:t>
      </w:r>
      <w:r w:rsidR="00AB18C7">
        <w:rPr>
          <w:lang w:val="en-ZA"/>
        </w:rPr>
        <w:t xml:space="preserve">, although many institutions combine the mental health policies of students and staff into a single, comprehensive policy. </w:t>
      </w:r>
    </w:p>
    <w:p w14:paraId="372FAC82" w14:textId="3D610FAB" w:rsidR="00EA5BE7" w:rsidRPr="00123235" w:rsidRDefault="00EA5BE7" w:rsidP="00D80C1E">
      <w:pPr>
        <w:pStyle w:val="ListParagraph"/>
        <w:numPr>
          <w:ilvl w:val="0"/>
          <w:numId w:val="33"/>
        </w:numPr>
        <w:rPr>
          <w:lang w:val="en-ZA"/>
        </w:rPr>
      </w:pPr>
      <w:r w:rsidRPr="00123235">
        <w:rPr>
          <w:b/>
          <w:bCs/>
          <w:lang w:val="en-ZA"/>
        </w:rPr>
        <w:t>Principles</w:t>
      </w:r>
      <w:r w:rsidRPr="00123235">
        <w:rPr>
          <w:lang w:val="en-ZA"/>
        </w:rPr>
        <w:t>: Institutions typically list a set of principles that the policy statements are based on. These might include</w:t>
      </w:r>
      <w:r>
        <w:rPr>
          <w:lang w:val="en-ZA"/>
        </w:rPr>
        <w:t xml:space="preserve"> </w:t>
      </w:r>
      <w:r w:rsidRPr="00123235">
        <w:rPr>
          <w:lang w:val="en-ZA"/>
        </w:rPr>
        <w:t xml:space="preserve">compliance with legislation and institutional statutes, </w:t>
      </w:r>
      <w:r>
        <w:rPr>
          <w:lang w:val="en-ZA"/>
        </w:rPr>
        <w:t>valuing e</w:t>
      </w:r>
      <w:r w:rsidRPr="00123235">
        <w:rPr>
          <w:lang w:val="en-ZA"/>
        </w:rPr>
        <w:t xml:space="preserve">quity and </w:t>
      </w:r>
      <w:r>
        <w:rPr>
          <w:lang w:val="en-ZA"/>
        </w:rPr>
        <w:t>f</w:t>
      </w:r>
      <w:r w:rsidRPr="00123235">
        <w:rPr>
          <w:lang w:val="en-ZA"/>
        </w:rPr>
        <w:t>airness</w:t>
      </w:r>
      <w:r>
        <w:rPr>
          <w:lang w:val="en-ZA"/>
        </w:rPr>
        <w:t>,</w:t>
      </w:r>
      <w:r w:rsidR="00126641">
        <w:rPr>
          <w:lang w:val="en-ZA"/>
        </w:rPr>
        <w:t xml:space="preserve"> health and wellness, </w:t>
      </w:r>
      <w:r w:rsidR="00B730BD">
        <w:rPr>
          <w:lang w:val="en-ZA"/>
        </w:rPr>
        <w:t xml:space="preserve">confidentiality, disclosure, </w:t>
      </w:r>
      <w:r w:rsidR="00AB18C7">
        <w:rPr>
          <w:lang w:val="en-ZA"/>
        </w:rPr>
        <w:t xml:space="preserve">and reducing </w:t>
      </w:r>
      <w:r w:rsidR="00B730BD">
        <w:rPr>
          <w:lang w:val="en-ZA"/>
        </w:rPr>
        <w:t>stigmatisation</w:t>
      </w:r>
      <w:r w:rsidR="00AB18C7">
        <w:rPr>
          <w:lang w:val="en-ZA"/>
        </w:rPr>
        <w:t xml:space="preserve"> and discrimination</w:t>
      </w:r>
      <w:r>
        <w:rPr>
          <w:lang w:val="en-ZA"/>
        </w:rPr>
        <w:t>.</w:t>
      </w:r>
    </w:p>
    <w:p w14:paraId="3AF9D26A" w14:textId="15AA1E62" w:rsidR="00EA5BE7" w:rsidRDefault="00EA5BE7" w:rsidP="00D80C1E">
      <w:pPr>
        <w:pStyle w:val="ListParagraph"/>
        <w:numPr>
          <w:ilvl w:val="0"/>
          <w:numId w:val="33"/>
        </w:numPr>
        <w:rPr>
          <w:lang w:val="en-ZA"/>
        </w:rPr>
      </w:pPr>
      <w:r w:rsidRPr="00B55962">
        <w:rPr>
          <w:b/>
          <w:bCs/>
          <w:lang w:val="en-ZA"/>
        </w:rPr>
        <w:t>Policy alignment</w:t>
      </w:r>
      <w:r>
        <w:rPr>
          <w:lang w:val="en-ZA"/>
        </w:rPr>
        <w:t xml:space="preserve">: Listing relevant policies or guiding documents that need to be read alongside the </w:t>
      </w:r>
      <w:r w:rsidR="00AB18C7">
        <w:rPr>
          <w:lang w:val="en-ZA"/>
        </w:rPr>
        <w:t>mental health</w:t>
      </w:r>
      <w:r>
        <w:rPr>
          <w:lang w:val="en-ZA"/>
        </w:rPr>
        <w:t xml:space="preserve"> policy</w:t>
      </w:r>
      <w:r w:rsidR="00AB18C7">
        <w:rPr>
          <w:lang w:val="en-ZA"/>
        </w:rPr>
        <w:t>.</w:t>
      </w:r>
      <w:r w:rsidR="00C40D59">
        <w:rPr>
          <w:lang w:val="en-ZA"/>
        </w:rPr>
        <w:t xml:space="preserve"> </w:t>
      </w:r>
    </w:p>
    <w:p w14:paraId="1D0A0886" w14:textId="77777777" w:rsidR="00EA5BE7" w:rsidRDefault="00EA5BE7" w:rsidP="00EA5BE7">
      <w:pPr>
        <w:rPr>
          <w:lang w:val="en-ZA"/>
        </w:rPr>
      </w:pPr>
    </w:p>
    <w:p w14:paraId="24F5B241" w14:textId="38FB8405" w:rsidR="00EA5BE7" w:rsidRDefault="00EA5BE7" w:rsidP="00EA5BE7">
      <w:pPr>
        <w:rPr>
          <w:lang w:val="en-ZA"/>
        </w:rPr>
      </w:pPr>
      <w:r>
        <w:rPr>
          <w:lang w:val="en-ZA"/>
        </w:rPr>
        <w:t xml:space="preserve">Thereafter, policy statements on the following aspects of </w:t>
      </w:r>
      <w:r w:rsidR="00AB18C7">
        <w:rPr>
          <w:lang w:val="en-ZA"/>
        </w:rPr>
        <w:t>mental health</w:t>
      </w:r>
      <w:r>
        <w:rPr>
          <w:lang w:val="en-ZA"/>
        </w:rPr>
        <w:t xml:space="preserve"> could be considered:</w:t>
      </w:r>
    </w:p>
    <w:p w14:paraId="1421C599" w14:textId="513F4157" w:rsidR="00FF3A74" w:rsidRDefault="006E0BEA" w:rsidP="002326D6">
      <w:pPr>
        <w:pStyle w:val="Heading2"/>
        <w:numPr>
          <w:ilvl w:val="0"/>
          <w:numId w:val="0"/>
        </w:numPr>
        <w:rPr>
          <w:lang w:val="en-ZA"/>
        </w:rPr>
      </w:pPr>
      <w:r>
        <w:rPr>
          <w:lang w:val="en-ZA"/>
        </w:rPr>
        <w:t>Institutional support structures</w:t>
      </w:r>
    </w:p>
    <w:p w14:paraId="45E35339" w14:textId="415660EB" w:rsidR="006E0BEA" w:rsidRDefault="00051D50" w:rsidP="392682D4">
      <w:r w:rsidRPr="392682D4">
        <w:t xml:space="preserve">Ideally, institutions should have </w:t>
      </w:r>
      <w:r w:rsidR="00585B8F" w:rsidRPr="392682D4">
        <w:t>mental health support structures in place</w:t>
      </w:r>
      <w:r w:rsidR="00251936" w:rsidRPr="392682D4">
        <w:t xml:space="preserve"> (like</w:t>
      </w:r>
      <w:r w:rsidR="00E74289" w:rsidRPr="392682D4">
        <w:t xml:space="preserve"> a wellness centre or counsellors/psychologists)</w:t>
      </w:r>
      <w:r w:rsidR="00475027" w:rsidRPr="392682D4">
        <w:t xml:space="preserve"> or </w:t>
      </w:r>
      <w:r w:rsidR="00715738">
        <w:t xml:space="preserve">should </w:t>
      </w:r>
      <w:r w:rsidR="00475027" w:rsidRPr="392682D4">
        <w:t xml:space="preserve">have standing agreements with external service providers </w:t>
      </w:r>
      <w:r w:rsidR="00251936" w:rsidRPr="392682D4">
        <w:t xml:space="preserve">to be able to support </w:t>
      </w:r>
      <w:r w:rsidR="00715738">
        <w:t xml:space="preserve">their </w:t>
      </w:r>
      <w:r w:rsidR="00251936" w:rsidRPr="392682D4">
        <w:t>staff.</w:t>
      </w:r>
      <w:r w:rsidR="002326D6">
        <w:t xml:space="preserve"> </w:t>
      </w:r>
      <w:r w:rsidR="00C21A7D" w:rsidRPr="392682D4">
        <w:t xml:space="preserve">Further, taking a preventative or proactive approach </w:t>
      </w:r>
      <w:r w:rsidR="00323EA3" w:rsidRPr="392682D4">
        <w:t xml:space="preserve">is </w:t>
      </w:r>
      <w:r w:rsidR="00715738">
        <w:t xml:space="preserve">deemed </w:t>
      </w:r>
      <w:r w:rsidR="00323EA3" w:rsidRPr="392682D4">
        <w:t>good practice. This implies having regular activities or engagements to inform staff</w:t>
      </w:r>
      <w:r w:rsidR="006647B2" w:rsidRPr="392682D4">
        <w:t xml:space="preserve"> about mental and physical health </w:t>
      </w:r>
      <w:r w:rsidR="0081728D" w:rsidRPr="392682D4">
        <w:t xml:space="preserve">or </w:t>
      </w:r>
      <w:r w:rsidR="00A610C9" w:rsidRPr="392682D4">
        <w:t>organis</w:t>
      </w:r>
      <w:r w:rsidR="0081728D" w:rsidRPr="392682D4">
        <w:t>ing</w:t>
      </w:r>
      <w:r w:rsidR="00A610C9" w:rsidRPr="392682D4">
        <w:t xml:space="preserve"> events to promote </w:t>
      </w:r>
      <w:r w:rsidR="005937B3" w:rsidRPr="392682D4">
        <w:t>habits that support physical and mental health</w:t>
      </w:r>
      <w:r w:rsidR="0081728D" w:rsidRPr="392682D4">
        <w:t>.</w:t>
      </w:r>
      <w:r w:rsidR="002326D6">
        <w:t xml:space="preserve"> </w:t>
      </w:r>
    </w:p>
    <w:p w14:paraId="3E15EADB" w14:textId="77777777" w:rsidR="00E74289" w:rsidRDefault="00E74289" w:rsidP="00EA5BE7">
      <w:pPr>
        <w:rPr>
          <w:lang w:val="en-ZA"/>
        </w:rPr>
      </w:pPr>
    </w:p>
    <w:p w14:paraId="450ED399" w14:textId="218BB6D4" w:rsidR="00E74289" w:rsidRDefault="00BD746D" w:rsidP="00EA5BE7">
      <w:pPr>
        <w:rPr>
          <w:lang w:val="en-ZA"/>
        </w:rPr>
      </w:pPr>
      <w:r>
        <w:rPr>
          <w:lang w:val="en-ZA"/>
        </w:rPr>
        <w:t>The policy should be clear about which support structures are in place, wh</w:t>
      </w:r>
      <w:r w:rsidR="00454653">
        <w:rPr>
          <w:lang w:val="en-ZA"/>
        </w:rPr>
        <w:t>ether there are any restrictions on eligibility to access such services</w:t>
      </w:r>
      <w:r w:rsidR="003C0389">
        <w:rPr>
          <w:lang w:val="en-ZA"/>
        </w:rPr>
        <w:t xml:space="preserve">, and what processes </w:t>
      </w:r>
      <w:proofErr w:type="gramStart"/>
      <w:r w:rsidR="003C0389">
        <w:rPr>
          <w:lang w:val="en-ZA"/>
        </w:rPr>
        <w:t>have to</w:t>
      </w:r>
      <w:proofErr w:type="gramEnd"/>
      <w:r w:rsidR="003C0389">
        <w:rPr>
          <w:lang w:val="en-ZA"/>
        </w:rPr>
        <w:t xml:space="preserve"> be followed to </w:t>
      </w:r>
      <w:r w:rsidR="00715738">
        <w:rPr>
          <w:lang w:val="en-ZA"/>
        </w:rPr>
        <w:t xml:space="preserve">gain </w:t>
      </w:r>
      <w:r w:rsidR="003C0389">
        <w:rPr>
          <w:lang w:val="en-ZA"/>
        </w:rPr>
        <w:t xml:space="preserve">access </w:t>
      </w:r>
      <w:r w:rsidR="00715738">
        <w:rPr>
          <w:lang w:val="en-ZA"/>
        </w:rPr>
        <w:t xml:space="preserve">to </w:t>
      </w:r>
      <w:r w:rsidR="003C0389">
        <w:rPr>
          <w:lang w:val="en-ZA"/>
        </w:rPr>
        <w:t>these services.</w:t>
      </w:r>
      <w:r w:rsidR="00EA1753">
        <w:rPr>
          <w:lang w:val="en-ZA"/>
        </w:rPr>
        <w:t xml:space="preserve"> </w:t>
      </w:r>
    </w:p>
    <w:p w14:paraId="49AD7AA3" w14:textId="77777777" w:rsidR="00EA1753" w:rsidRDefault="00EA1753" w:rsidP="00EA5BE7">
      <w:pPr>
        <w:rPr>
          <w:lang w:val="en-ZA"/>
        </w:rPr>
      </w:pPr>
    </w:p>
    <w:p w14:paraId="722E2279" w14:textId="6C9988BF" w:rsidR="00EA1753" w:rsidRPr="00FF3A74" w:rsidRDefault="00EA1753" w:rsidP="00EA5BE7">
      <w:pPr>
        <w:rPr>
          <w:lang w:val="en-ZA"/>
        </w:rPr>
      </w:pPr>
      <w:r>
        <w:rPr>
          <w:lang w:val="en-ZA"/>
        </w:rPr>
        <w:t>Exclusion criteria should also be addressed</w:t>
      </w:r>
      <w:r w:rsidR="00603644">
        <w:rPr>
          <w:lang w:val="en-ZA"/>
        </w:rPr>
        <w:t>. F</w:t>
      </w:r>
      <w:r>
        <w:rPr>
          <w:lang w:val="en-ZA"/>
        </w:rPr>
        <w:t xml:space="preserve">or example, </w:t>
      </w:r>
      <w:r w:rsidR="006F0DC0">
        <w:rPr>
          <w:lang w:val="en-ZA"/>
        </w:rPr>
        <w:t>institutional resources may not replace</w:t>
      </w:r>
      <w:r w:rsidR="00603644">
        <w:rPr>
          <w:lang w:val="en-ZA"/>
        </w:rPr>
        <w:t xml:space="preserve"> existing treatment or be used to treat newly diagnosed </w:t>
      </w:r>
      <w:r w:rsidR="006F0DC0">
        <w:rPr>
          <w:lang w:val="en-ZA"/>
        </w:rPr>
        <w:t>mental health disorder</w:t>
      </w:r>
      <w:r w:rsidR="00603644">
        <w:rPr>
          <w:lang w:val="en-ZA"/>
        </w:rPr>
        <w:t xml:space="preserve">s. </w:t>
      </w:r>
    </w:p>
    <w:p w14:paraId="12C4FEA3" w14:textId="4996FB48" w:rsidR="001A36D9" w:rsidRDefault="006C21FD" w:rsidP="002326D6">
      <w:pPr>
        <w:pStyle w:val="Heading2"/>
        <w:numPr>
          <w:ilvl w:val="0"/>
          <w:numId w:val="0"/>
        </w:numPr>
        <w:rPr>
          <w:lang w:val="en-ZA"/>
        </w:rPr>
      </w:pPr>
      <w:r>
        <w:rPr>
          <w:lang w:val="en-ZA"/>
        </w:rPr>
        <w:t>Responsibilities and procedures</w:t>
      </w:r>
    </w:p>
    <w:p w14:paraId="078B95EA" w14:textId="57547AF1" w:rsidR="00B9263E" w:rsidRDefault="00B9263E" w:rsidP="00B9263E">
      <w:pPr>
        <w:rPr>
          <w:lang w:val="en-ZA"/>
        </w:rPr>
      </w:pPr>
      <w:r>
        <w:rPr>
          <w:lang w:val="en-ZA"/>
        </w:rPr>
        <w:t xml:space="preserve">The policy should be clear about what processes to follow in the event of an emergency – both for staff experiencing a mental health emergency, and their colleagues/managers. </w:t>
      </w:r>
      <w:r w:rsidR="00825FC9">
        <w:rPr>
          <w:lang w:val="en-ZA"/>
        </w:rPr>
        <w:t xml:space="preserve">Further, to avoid stigmatisation and discrimination </w:t>
      </w:r>
      <w:r w:rsidR="00BF1C64">
        <w:rPr>
          <w:lang w:val="en-ZA"/>
        </w:rPr>
        <w:t>against</w:t>
      </w:r>
      <w:r w:rsidR="00825FC9">
        <w:rPr>
          <w:lang w:val="en-ZA"/>
        </w:rPr>
        <w:t xml:space="preserve"> staff with mental health challenges, </w:t>
      </w:r>
      <w:r w:rsidR="00EB2DEF">
        <w:rPr>
          <w:lang w:val="en-ZA"/>
        </w:rPr>
        <w:t xml:space="preserve">the institution should </w:t>
      </w:r>
      <w:proofErr w:type="gramStart"/>
      <w:r w:rsidR="00EB2DEF">
        <w:rPr>
          <w:lang w:val="en-ZA"/>
        </w:rPr>
        <w:t>make an effort</w:t>
      </w:r>
      <w:proofErr w:type="gramEnd"/>
      <w:r w:rsidR="00EB2DEF">
        <w:rPr>
          <w:lang w:val="en-ZA"/>
        </w:rPr>
        <w:t xml:space="preserve"> to educate staff on </w:t>
      </w:r>
      <w:r w:rsidR="00BF7F15">
        <w:rPr>
          <w:lang w:val="en-ZA"/>
        </w:rPr>
        <w:t>common myths and misunderstandings surrounding mental health</w:t>
      </w:r>
      <w:r w:rsidR="00B42486">
        <w:rPr>
          <w:lang w:val="en-ZA"/>
        </w:rPr>
        <w:t xml:space="preserve">. </w:t>
      </w:r>
    </w:p>
    <w:p w14:paraId="46341F1C" w14:textId="77777777" w:rsidR="00B42486" w:rsidRDefault="00B42486" w:rsidP="00B9263E">
      <w:pPr>
        <w:rPr>
          <w:lang w:val="en-ZA"/>
        </w:rPr>
      </w:pPr>
    </w:p>
    <w:p w14:paraId="309151E3" w14:textId="5988258E" w:rsidR="00B42486" w:rsidRDefault="00B42486" w:rsidP="00B9263E">
      <w:pPr>
        <w:rPr>
          <w:lang w:val="en-ZA"/>
        </w:rPr>
      </w:pPr>
      <w:r>
        <w:rPr>
          <w:lang w:val="en-ZA"/>
        </w:rPr>
        <w:lastRenderedPageBreak/>
        <w:t xml:space="preserve">The policy should also be clear about what processes </w:t>
      </w:r>
      <w:r w:rsidR="00D11A5A">
        <w:rPr>
          <w:lang w:val="en-ZA"/>
        </w:rPr>
        <w:t>are in place to provide continued support to staff suffering from mental health challenges, illnesses, or disorders</w:t>
      </w:r>
      <w:r w:rsidR="00BF1C64">
        <w:rPr>
          <w:lang w:val="en-ZA"/>
        </w:rPr>
        <w:t xml:space="preserve"> (e.g.,</w:t>
      </w:r>
      <w:r w:rsidR="00F85AA5">
        <w:rPr>
          <w:lang w:val="en-ZA"/>
        </w:rPr>
        <w:t xml:space="preserve"> implementing a ‘reasonable accommodation’ </w:t>
      </w:r>
      <w:r w:rsidR="004D13A7">
        <w:rPr>
          <w:lang w:val="en-ZA"/>
        </w:rPr>
        <w:t xml:space="preserve">approach to </w:t>
      </w:r>
      <w:r w:rsidR="006428CB">
        <w:rPr>
          <w:lang w:val="en-ZA"/>
        </w:rPr>
        <w:t>staff who require additional support</w:t>
      </w:r>
      <w:r w:rsidR="00BF1C64">
        <w:rPr>
          <w:lang w:val="en-ZA"/>
        </w:rPr>
        <w:t>)</w:t>
      </w:r>
      <w:r w:rsidR="006428CB">
        <w:rPr>
          <w:lang w:val="en-ZA"/>
        </w:rPr>
        <w:t xml:space="preserve">. </w:t>
      </w:r>
    </w:p>
    <w:p w14:paraId="2BDF1724" w14:textId="2B398C03" w:rsidR="006C21FD" w:rsidRDefault="008A18B0" w:rsidP="002326D6">
      <w:pPr>
        <w:pStyle w:val="Heading2"/>
        <w:numPr>
          <w:ilvl w:val="0"/>
          <w:numId w:val="0"/>
        </w:numPr>
        <w:rPr>
          <w:lang w:val="en-ZA"/>
        </w:rPr>
      </w:pPr>
      <w:r>
        <w:rPr>
          <w:lang w:val="en-ZA"/>
        </w:rPr>
        <w:t>Leave</w:t>
      </w:r>
    </w:p>
    <w:p w14:paraId="4673BFAE" w14:textId="7DBDA09A" w:rsidR="008A18B0" w:rsidRDefault="006428CB" w:rsidP="00995064">
      <w:pPr>
        <w:rPr>
          <w:lang w:val="en-ZA"/>
        </w:rPr>
      </w:pPr>
      <w:r>
        <w:rPr>
          <w:lang w:val="en-ZA"/>
        </w:rPr>
        <w:t>In line with the in</w:t>
      </w:r>
      <w:r w:rsidR="00BF1C64">
        <w:rPr>
          <w:lang w:val="en-ZA"/>
        </w:rPr>
        <w:t>stitutional</w:t>
      </w:r>
      <w:r>
        <w:rPr>
          <w:lang w:val="en-ZA"/>
        </w:rPr>
        <w:t xml:space="preserve"> leave policy, </w:t>
      </w:r>
      <w:r w:rsidR="00072D3F">
        <w:rPr>
          <w:lang w:val="en-ZA"/>
        </w:rPr>
        <w:t xml:space="preserve">this section should clearly state the conditions of sick leave and how it applies to mental health </w:t>
      </w:r>
      <w:r w:rsidR="000D4BE0">
        <w:rPr>
          <w:lang w:val="en-ZA"/>
        </w:rPr>
        <w:t xml:space="preserve">illnesses and disorders. </w:t>
      </w:r>
    </w:p>
    <w:p w14:paraId="783ECFB1" w14:textId="4C3176C4" w:rsidR="006C21FD" w:rsidRDefault="008A18B0" w:rsidP="002326D6">
      <w:pPr>
        <w:pStyle w:val="Heading2"/>
        <w:numPr>
          <w:ilvl w:val="0"/>
          <w:numId w:val="0"/>
        </w:numPr>
        <w:rPr>
          <w:lang w:val="en-ZA"/>
        </w:rPr>
      </w:pPr>
      <w:r>
        <w:rPr>
          <w:lang w:val="en-ZA"/>
        </w:rPr>
        <w:t>Policy implementation</w:t>
      </w:r>
    </w:p>
    <w:p w14:paraId="2648F6B7" w14:textId="35663D8B" w:rsidR="000D4BE0" w:rsidRDefault="000D4BE0" w:rsidP="000D4BE0">
      <w:r>
        <w:t xml:space="preserve">The Mental Health policy should have clear guidelines on how the policy will be implemented, how monitoring and evaluation will take place, and when it should be reviewed. </w:t>
      </w:r>
    </w:p>
    <w:p w14:paraId="7A70CC39" w14:textId="48781C90" w:rsidR="00052877" w:rsidRDefault="003943F6" w:rsidP="00AB16FE">
      <w:pPr>
        <w:spacing w:after="200" w:line="276" w:lineRule="auto"/>
        <w:jc w:val="left"/>
        <w:rPr>
          <w:b/>
          <w:bCs/>
          <w:lang w:val="en-ZA"/>
        </w:rPr>
      </w:pPr>
      <w:r>
        <w:rPr>
          <w:b/>
          <w:bCs/>
          <w:lang w:val="en-ZA"/>
        </w:rPr>
        <w:br w:type="page"/>
      </w:r>
    </w:p>
    <w:p w14:paraId="0A331D33" w14:textId="031E6331" w:rsidR="00052877" w:rsidRDefault="00052877" w:rsidP="00052877">
      <w:pPr>
        <w:pStyle w:val="Heading1"/>
      </w:pPr>
      <w:r>
        <w:lastRenderedPageBreak/>
        <w:t xml:space="preserve">Appendix </w:t>
      </w:r>
      <w:r w:rsidR="008F58BA">
        <w:t>H</w:t>
      </w:r>
      <w:r>
        <w:t>: Code of Conduct template</w:t>
      </w:r>
    </w:p>
    <w:p w14:paraId="50F14388" w14:textId="77777777" w:rsidR="005B1F87" w:rsidRDefault="005B1F87" w:rsidP="008413E6">
      <w:pPr>
        <w:rPr>
          <w:lang w:val="en-ZA"/>
        </w:rPr>
      </w:pPr>
    </w:p>
    <w:p w14:paraId="34966BB2" w14:textId="704DCA63" w:rsidR="008413E6" w:rsidRDefault="005B1F87" w:rsidP="008413E6">
      <w:pPr>
        <w:rPr>
          <w:lang w:val="en-ZA"/>
        </w:rPr>
      </w:pPr>
      <w:r>
        <w:rPr>
          <w:lang w:val="en-ZA"/>
        </w:rPr>
        <w:t>The Code of Conduct is also considered a policy document</w:t>
      </w:r>
      <w:r w:rsidR="007E28D5">
        <w:rPr>
          <w:lang w:val="en-ZA"/>
        </w:rPr>
        <w:t xml:space="preserve">. </w:t>
      </w:r>
      <w:r w:rsidR="008413E6">
        <w:rPr>
          <w:lang w:val="en-ZA"/>
        </w:rPr>
        <w:t xml:space="preserve">Initial headings will be determined by individual institutions, but will typically include </w:t>
      </w:r>
      <w:r w:rsidR="00BF1C64">
        <w:rPr>
          <w:lang w:val="en-ZA"/>
        </w:rPr>
        <w:t xml:space="preserve">the following </w:t>
      </w:r>
      <w:r w:rsidR="008413E6">
        <w:rPr>
          <w:lang w:val="en-ZA"/>
        </w:rPr>
        <w:t>sections:</w:t>
      </w:r>
    </w:p>
    <w:p w14:paraId="14FDE7B4" w14:textId="182CAB53" w:rsidR="008413E6" w:rsidRPr="005B1F87" w:rsidRDefault="008413E6" w:rsidP="00D80C1E">
      <w:pPr>
        <w:pStyle w:val="ListParagraph"/>
        <w:numPr>
          <w:ilvl w:val="0"/>
          <w:numId w:val="34"/>
        </w:numPr>
        <w:rPr>
          <w:lang w:val="en-ZA"/>
        </w:rPr>
      </w:pPr>
      <w:r w:rsidRPr="007021EB">
        <w:rPr>
          <w:b/>
          <w:bCs/>
          <w:lang w:val="en-ZA"/>
        </w:rPr>
        <w:t>Introduction/Background</w:t>
      </w:r>
      <w:r w:rsidRPr="007021EB">
        <w:rPr>
          <w:lang w:val="en-ZA"/>
        </w:rPr>
        <w:t>: The introduction section might include statements on the</w:t>
      </w:r>
      <w:r>
        <w:rPr>
          <w:lang w:val="en-ZA"/>
        </w:rPr>
        <w:t xml:space="preserve"> purpose and objectives of </w:t>
      </w:r>
      <w:r w:rsidR="005B1F87">
        <w:rPr>
          <w:lang w:val="en-ZA"/>
        </w:rPr>
        <w:t>the Code of Conduct. For example, a</w:t>
      </w:r>
      <w:r w:rsidRPr="008413E6">
        <w:rPr>
          <w:lang w:val="en-ZA"/>
        </w:rPr>
        <w:t xml:space="preserve"> Code of Conduct provides a foundational framework for cultivating a respectful, inclusive, and safe environment that supports learning and teaching, research, and community engagement. It reflects the university’s core values and serves as a guide for ethical decision</w:t>
      </w:r>
      <w:r w:rsidR="00386A88">
        <w:rPr>
          <w:lang w:val="en-ZA"/>
        </w:rPr>
        <w:t xml:space="preserve"> </w:t>
      </w:r>
      <w:r w:rsidRPr="008413E6">
        <w:rPr>
          <w:lang w:val="en-ZA"/>
        </w:rPr>
        <w:t>making and interpersonal interactions across the university community.</w:t>
      </w:r>
      <w:r w:rsidR="005B1F87">
        <w:rPr>
          <w:lang w:val="en-ZA"/>
        </w:rPr>
        <w:t xml:space="preserve"> </w:t>
      </w:r>
      <w:r w:rsidRPr="005B1F87">
        <w:rPr>
          <w:lang w:val="en-ZA"/>
        </w:rPr>
        <w:t>The Code of Conduct outlines clear expectations for behaviour, promotes respectful communication and strictly prohibits discrimination, harassment, and any conduct that compromises the dignity and wellbeing of individuals or groups. It may also be extended to address the responsible use of university resources, adherence to health and safety standards, and ethical practices in research and professional engagements.</w:t>
      </w:r>
      <w:r w:rsidR="005B1F87">
        <w:rPr>
          <w:lang w:val="en-ZA"/>
        </w:rPr>
        <w:t xml:space="preserve"> </w:t>
      </w:r>
      <w:r w:rsidRPr="005B1F87">
        <w:rPr>
          <w:lang w:val="en-ZA"/>
        </w:rPr>
        <w:t xml:space="preserve">The Code of Conduct helps prevent misunderstandings and provides a basis for addressing unacceptable behaviour consistently and fairly. A well-defined Code not only reinforces the university’s commitment to ethical principles and accountability but also helps build a community in which all members feel respected, supported, and empowered. </w:t>
      </w:r>
    </w:p>
    <w:p w14:paraId="7AB22AB0" w14:textId="3754A5B0" w:rsidR="008413E6" w:rsidRDefault="008413E6" w:rsidP="00D80C1E">
      <w:pPr>
        <w:pStyle w:val="ListParagraph"/>
        <w:numPr>
          <w:ilvl w:val="0"/>
          <w:numId w:val="34"/>
        </w:numPr>
        <w:rPr>
          <w:lang w:val="en-ZA"/>
        </w:rPr>
      </w:pPr>
      <w:r w:rsidRPr="007D28A8">
        <w:rPr>
          <w:b/>
          <w:bCs/>
          <w:lang w:val="en-ZA"/>
        </w:rPr>
        <w:t>Definitions</w:t>
      </w:r>
      <w:r>
        <w:rPr>
          <w:lang w:val="en-ZA"/>
        </w:rPr>
        <w:t>: Typical terms that might need clarifying in this context include staff (academic, professional, administrative),</w:t>
      </w:r>
      <w:r w:rsidR="00DC1432">
        <w:rPr>
          <w:lang w:val="en-ZA"/>
        </w:rPr>
        <w:t xml:space="preserve"> ethi</w:t>
      </w:r>
      <w:r w:rsidR="008222FC">
        <w:rPr>
          <w:lang w:val="en-ZA"/>
        </w:rPr>
        <w:t xml:space="preserve">cal conduct, professional conduct, </w:t>
      </w:r>
      <w:r w:rsidR="00F8588E">
        <w:rPr>
          <w:lang w:val="en-ZA"/>
        </w:rPr>
        <w:t xml:space="preserve">disciplinary actions, harassment, bullying, </w:t>
      </w:r>
      <w:r w:rsidR="00021296">
        <w:rPr>
          <w:lang w:val="en-ZA"/>
        </w:rPr>
        <w:t>intimidation, and so forth</w:t>
      </w:r>
      <w:r>
        <w:rPr>
          <w:lang w:val="en-ZA"/>
        </w:rPr>
        <w:t>.</w:t>
      </w:r>
    </w:p>
    <w:p w14:paraId="201CA943" w14:textId="60DD86EA" w:rsidR="008413E6" w:rsidRDefault="008413E6" w:rsidP="00D80C1E">
      <w:pPr>
        <w:pStyle w:val="ListParagraph"/>
        <w:numPr>
          <w:ilvl w:val="0"/>
          <w:numId w:val="34"/>
        </w:numPr>
        <w:rPr>
          <w:lang w:val="en-ZA"/>
        </w:rPr>
      </w:pPr>
      <w:r w:rsidRPr="00B55962">
        <w:rPr>
          <w:b/>
          <w:bCs/>
          <w:lang w:val="en-ZA"/>
        </w:rPr>
        <w:t>Scope</w:t>
      </w:r>
      <w:r>
        <w:rPr>
          <w:lang w:val="en-ZA"/>
        </w:rPr>
        <w:t xml:space="preserve">: The scope of the policy stipulates the intended audience to which the policy </w:t>
      </w:r>
      <w:r w:rsidR="00BF1C64">
        <w:rPr>
          <w:lang w:val="en-ZA"/>
        </w:rPr>
        <w:t>applies</w:t>
      </w:r>
      <w:r>
        <w:rPr>
          <w:lang w:val="en-ZA"/>
        </w:rPr>
        <w:t>. In this instance, a</w:t>
      </w:r>
      <w:r w:rsidR="00021296">
        <w:rPr>
          <w:lang w:val="en-ZA"/>
        </w:rPr>
        <w:t xml:space="preserve"> Code of Conduct applies to all staff, students,</w:t>
      </w:r>
      <w:r w:rsidR="00ED2F27">
        <w:rPr>
          <w:lang w:val="en-ZA"/>
        </w:rPr>
        <w:t xml:space="preserve"> </w:t>
      </w:r>
      <w:r w:rsidR="00021296">
        <w:rPr>
          <w:lang w:val="en-ZA"/>
        </w:rPr>
        <w:t>and visitors to the institution</w:t>
      </w:r>
      <w:r>
        <w:rPr>
          <w:lang w:val="en-ZA"/>
        </w:rPr>
        <w:t xml:space="preserve">. </w:t>
      </w:r>
    </w:p>
    <w:p w14:paraId="06963B8C" w14:textId="35410C3D" w:rsidR="008413E6" w:rsidRPr="00123235" w:rsidRDefault="008413E6" w:rsidP="00D80C1E">
      <w:pPr>
        <w:pStyle w:val="ListParagraph"/>
        <w:numPr>
          <w:ilvl w:val="0"/>
          <w:numId w:val="34"/>
        </w:numPr>
        <w:rPr>
          <w:lang w:val="en-ZA"/>
        </w:rPr>
      </w:pPr>
      <w:r w:rsidRPr="00123235">
        <w:rPr>
          <w:b/>
          <w:bCs/>
          <w:lang w:val="en-ZA"/>
        </w:rPr>
        <w:t>Principles</w:t>
      </w:r>
      <w:r w:rsidRPr="00123235">
        <w:rPr>
          <w:lang w:val="en-ZA"/>
        </w:rPr>
        <w:t>: Institutions typically list a set of principles that the policy statements are based on. These might include</w:t>
      </w:r>
      <w:r>
        <w:rPr>
          <w:lang w:val="en-ZA"/>
        </w:rPr>
        <w:t xml:space="preserve"> </w:t>
      </w:r>
      <w:r w:rsidRPr="00123235">
        <w:rPr>
          <w:lang w:val="en-ZA"/>
        </w:rPr>
        <w:t xml:space="preserve">compliance with legislation and institutional statutes, </w:t>
      </w:r>
      <w:r>
        <w:rPr>
          <w:lang w:val="en-ZA"/>
        </w:rPr>
        <w:t>valuing e</w:t>
      </w:r>
      <w:r w:rsidRPr="00123235">
        <w:rPr>
          <w:lang w:val="en-ZA"/>
        </w:rPr>
        <w:t xml:space="preserve">quity and </w:t>
      </w:r>
      <w:r>
        <w:rPr>
          <w:lang w:val="en-ZA"/>
        </w:rPr>
        <w:t>f</w:t>
      </w:r>
      <w:r w:rsidRPr="00123235">
        <w:rPr>
          <w:lang w:val="en-ZA"/>
        </w:rPr>
        <w:t>airness</w:t>
      </w:r>
      <w:r>
        <w:rPr>
          <w:lang w:val="en-ZA"/>
        </w:rPr>
        <w:t>, confidentiality, and reducing stigmatisation and discrimination.</w:t>
      </w:r>
    </w:p>
    <w:p w14:paraId="4C7712EB" w14:textId="0E005574" w:rsidR="008413E6" w:rsidRDefault="008413E6" w:rsidP="00D80C1E">
      <w:pPr>
        <w:pStyle w:val="ListParagraph"/>
        <w:numPr>
          <w:ilvl w:val="0"/>
          <w:numId w:val="34"/>
        </w:numPr>
        <w:rPr>
          <w:lang w:val="en-ZA"/>
        </w:rPr>
      </w:pPr>
      <w:r w:rsidRPr="00B55962">
        <w:rPr>
          <w:b/>
          <w:bCs/>
          <w:lang w:val="en-ZA"/>
        </w:rPr>
        <w:t>Policy alignment</w:t>
      </w:r>
      <w:r>
        <w:rPr>
          <w:lang w:val="en-ZA"/>
        </w:rPr>
        <w:t xml:space="preserve">: Listing relevant policies or guiding documents that need to be read alongside the </w:t>
      </w:r>
      <w:r w:rsidR="0096155F">
        <w:rPr>
          <w:lang w:val="en-ZA"/>
        </w:rPr>
        <w:t>Code of Conduct</w:t>
      </w:r>
      <w:r>
        <w:rPr>
          <w:lang w:val="en-ZA"/>
        </w:rPr>
        <w:t xml:space="preserve">. </w:t>
      </w:r>
    </w:p>
    <w:p w14:paraId="0F1DAFE5" w14:textId="77777777" w:rsidR="008413E6" w:rsidRDefault="008413E6" w:rsidP="008413E6">
      <w:pPr>
        <w:rPr>
          <w:lang w:val="en-ZA"/>
        </w:rPr>
      </w:pPr>
    </w:p>
    <w:p w14:paraId="00F19499" w14:textId="631BD173" w:rsidR="008413E6" w:rsidRDefault="008413E6" w:rsidP="008413E6">
      <w:pPr>
        <w:rPr>
          <w:lang w:val="en-ZA"/>
        </w:rPr>
      </w:pPr>
      <w:r>
        <w:rPr>
          <w:lang w:val="en-ZA"/>
        </w:rPr>
        <w:t xml:space="preserve">Thereafter, policy statements on the following aspects of </w:t>
      </w:r>
      <w:r w:rsidR="00390386">
        <w:rPr>
          <w:lang w:val="en-ZA"/>
        </w:rPr>
        <w:t>conduct</w:t>
      </w:r>
      <w:r>
        <w:rPr>
          <w:lang w:val="en-ZA"/>
        </w:rPr>
        <w:t xml:space="preserve"> could be considered:</w:t>
      </w:r>
    </w:p>
    <w:p w14:paraId="3D1A4A05" w14:textId="40BE35B0" w:rsidR="008413E6" w:rsidRDefault="00707E52" w:rsidP="002326D6">
      <w:pPr>
        <w:pStyle w:val="Heading2"/>
        <w:numPr>
          <w:ilvl w:val="0"/>
          <w:numId w:val="0"/>
        </w:numPr>
        <w:rPr>
          <w:lang w:val="en-ZA"/>
        </w:rPr>
      </w:pPr>
      <w:r>
        <w:rPr>
          <w:lang w:val="en-ZA"/>
        </w:rPr>
        <w:t xml:space="preserve">Professional </w:t>
      </w:r>
      <w:r w:rsidR="00BA74ED">
        <w:rPr>
          <w:lang w:val="en-ZA"/>
        </w:rPr>
        <w:t xml:space="preserve">and ethical </w:t>
      </w:r>
      <w:r>
        <w:rPr>
          <w:lang w:val="en-ZA"/>
        </w:rPr>
        <w:t>conduct</w:t>
      </w:r>
    </w:p>
    <w:p w14:paraId="2BF08139" w14:textId="3D7E35D6" w:rsidR="00707E52" w:rsidRDefault="00AC1CC6" w:rsidP="000973D8">
      <w:pPr>
        <w:rPr>
          <w:lang w:val="en-ZA"/>
        </w:rPr>
      </w:pPr>
      <w:r>
        <w:rPr>
          <w:lang w:val="en-ZA"/>
        </w:rPr>
        <w:t>The policy should clearly state desired behaviours from staff members</w:t>
      </w:r>
      <w:r w:rsidR="00F91B65">
        <w:rPr>
          <w:lang w:val="en-ZA"/>
        </w:rPr>
        <w:t xml:space="preserve">, particularly what it understands professional conduct to mean. </w:t>
      </w:r>
      <w:r w:rsidR="00913DCC">
        <w:rPr>
          <w:lang w:val="en-ZA"/>
        </w:rPr>
        <w:t>This may include</w:t>
      </w:r>
      <w:r w:rsidR="007726A5">
        <w:rPr>
          <w:lang w:val="en-ZA"/>
        </w:rPr>
        <w:t xml:space="preserve"> statements on</w:t>
      </w:r>
      <w:r w:rsidR="00913DCC">
        <w:rPr>
          <w:lang w:val="en-ZA"/>
        </w:rPr>
        <w:t xml:space="preserve">: </w:t>
      </w:r>
    </w:p>
    <w:p w14:paraId="39E3DE02" w14:textId="43957586" w:rsidR="00913DCC" w:rsidRDefault="00913DCC" w:rsidP="00D80C1E">
      <w:pPr>
        <w:pStyle w:val="ListParagraph"/>
        <w:numPr>
          <w:ilvl w:val="0"/>
          <w:numId w:val="35"/>
        </w:numPr>
        <w:rPr>
          <w:lang w:val="en-ZA"/>
        </w:rPr>
      </w:pPr>
      <w:r>
        <w:rPr>
          <w:lang w:val="en-ZA"/>
        </w:rPr>
        <w:t>Academic integrity</w:t>
      </w:r>
    </w:p>
    <w:p w14:paraId="0A8FC53A" w14:textId="5263C6B5" w:rsidR="00913DCC" w:rsidRDefault="004B5C75" w:rsidP="00D80C1E">
      <w:pPr>
        <w:pStyle w:val="ListParagraph"/>
        <w:numPr>
          <w:ilvl w:val="0"/>
          <w:numId w:val="35"/>
        </w:numPr>
        <w:rPr>
          <w:lang w:val="en-ZA"/>
        </w:rPr>
      </w:pPr>
      <w:r>
        <w:rPr>
          <w:lang w:val="en-ZA"/>
        </w:rPr>
        <w:t>R</w:t>
      </w:r>
      <w:r w:rsidR="00913DCC">
        <w:rPr>
          <w:lang w:val="en-ZA"/>
        </w:rPr>
        <w:t>espect</w:t>
      </w:r>
      <w:r>
        <w:rPr>
          <w:lang w:val="en-ZA"/>
        </w:rPr>
        <w:t>ing diversity and inclusion</w:t>
      </w:r>
    </w:p>
    <w:p w14:paraId="7C8AD3B9" w14:textId="6AE8F42D" w:rsidR="004B5C75" w:rsidRDefault="004B5C75" w:rsidP="00D80C1E">
      <w:pPr>
        <w:pStyle w:val="ListParagraph"/>
        <w:numPr>
          <w:ilvl w:val="0"/>
          <w:numId w:val="35"/>
        </w:numPr>
        <w:rPr>
          <w:lang w:val="en-ZA"/>
        </w:rPr>
      </w:pPr>
      <w:r>
        <w:rPr>
          <w:lang w:val="en-ZA"/>
        </w:rPr>
        <w:t xml:space="preserve">Being accountable </w:t>
      </w:r>
    </w:p>
    <w:p w14:paraId="57799962" w14:textId="24F9FD23" w:rsidR="004B5C75" w:rsidRDefault="004B5C75" w:rsidP="00D80C1E">
      <w:pPr>
        <w:pStyle w:val="ListParagraph"/>
        <w:numPr>
          <w:ilvl w:val="0"/>
          <w:numId w:val="35"/>
        </w:numPr>
        <w:rPr>
          <w:lang w:val="en-ZA"/>
        </w:rPr>
      </w:pPr>
      <w:r>
        <w:rPr>
          <w:lang w:val="en-ZA"/>
        </w:rPr>
        <w:t>Respecting personal boundaries</w:t>
      </w:r>
    </w:p>
    <w:p w14:paraId="75BB16CA" w14:textId="3BE9865E" w:rsidR="004B5C75" w:rsidRDefault="008C5F15" w:rsidP="00D80C1E">
      <w:pPr>
        <w:pStyle w:val="ListParagraph"/>
        <w:numPr>
          <w:ilvl w:val="0"/>
          <w:numId w:val="35"/>
        </w:numPr>
        <w:rPr>
          <w:lang w:val="en-ZA"/>
        </w:rPr>
      </w:pPr>
      <w:r>
        <w:rPr>
          <w:lang w:val="en-ZA"/>
        </w:rPr>
        <w:t>Professional communication</w:t>
      </w:r>
    </w:p>
    <w:p w14:paraId="5E1A1776" w14:textId="104A54EA" w:rsidR="008C5F15" w:rsidRDefault="008C5F15" w:rsidP="00D80C1E">
      <w:pPr>
        <w:pStyle w:val="ListParagraph"/>
        <w:numPr>
          <w:ilvl w:val="0"/>
          <w:numId w:val="35"/>
        </w:numPr>
        <w:rPr>
          <w:lang w:val="en-ZA"/>
        </w:rPr>
      </w:pPr>
      <w:r>
        <w:rPr>
          <w:lang w:val="en-ZA"/>
        </w:rPr>
        <w:t>Being punctual and reliable</w:t>
      </w:r>
    </w:p>
    <w:p w14:paraId="681158CE" w14:textId="24674582" w:rsidR="008C5F15" w:rsidRDefault="008C5F15" w:rsidP="00D80C1E">
      <w:pPr>
        <w:pStyle w:val="ListParagraph"/>
        <w:numPr>
          <w:ilvl w:val="0"/>
          <w:numId w:val="35"/>
        </w:numPr>
        <w:rPr>
          <w:lang w:val="en-ZA"/>
        </w:rPr>
      </w:pPr>
      <w:r>
        <w:rPr>
          <w:lang w:val="en-ZA"/>
        </w:rPr>
        <w:t>Adhering to university rules, policies, and procedures</w:t>
      </w:r>
    </w:p>
    <w:p w14:paraId="28C26FDB" w14:textId="0160B929" w:rsidR="0048588F" w:rsidRDefault="008C5F15" w:rsidP="00D80C1E">
      <w:pPr>
        <w:pStyle w:val="ListParagraph"/>
        <w:numPr>
          <w:ilvl w:val="0"/>
          <w:numId w:val="35"/>
        </w:numPr>
        <w:rPr>
          <w:lang w:val="en-ZA"/>
        </w:rPr>
      </w:pPr>
      <w:r>
        <w:rPr>
          <w:lang w:val="en-ZA"/>
        </w:rPr>
        <w:t xml:space="preserve">Being a </w:t>
      </w:r>
      <w:r w:rsidR="00BA74ED">
        <w:rPr>
          <w:lang w:val="en-ZA"/>
        </w:rPr>
        <w:t>considerate work colleague</w:t>
      </w:r>
    </w:p>
    <w:p w14:paraId="428F5B6B" w14:textId="44E930D5" w:rsidR="00527025" w:rsidRDefault="00527025" w:rsidP="00D80C1E">
      <w:pPr>
        <w:pStyle w:val="ListParagraph"/>
        <w:numPr>
          <w:ilvl w:val="0"/>
          <w:numId w:val="35"/>
        </w:numPr>
        <w:rPr>
          <w:lang w:val="en-ZA"/>
        </w:rPr>
      </w:pPr>
      <w:r>
        <w:rPr>
          <w:lang w:val="en-ZA"/>
        </w:rPr>
        <w:t>Valuing honesty, fairness, and transparency</w:t>
      </w:r>
    </w:p>
    <w:p w14:paraId="31D00605" w14:textId="37B0D36F" w:rsidR="00527025" w:rsidRDefault="009C3480" w:rsidP="00D80C1E">
      <w:pPr>
        <w:pStyle w:val="ListParagraph"/>
        <w:numPr>
          <w:ilvl w:val="0"/>
          <w:numId w:val="35"/>
        </w:numPr>
        <w:rPr>
          <w:lang w:val="en-ZA"/>
        </w:rPr>
      </w:pPr>
      <w:r>
        <w:rPr>
          <w:lang w:val="en-ZA"/>
        </w:rPr>
        <w:t>Safeguarding private or sensitive information</w:t>
      </w:r>
    </w:p>
    <w:p w14:paraId="08B6A975" w14:textId="2654BEFD" w:rsidR="009C3480" w:rsidRDefault="009C3480" w:rsidP="00D80C1E">
      <w:pPr>
        <w:pStyle w:val="ListParagraph"/>
        <w:numPr>
          <w:ilvl w:val="0"/>
          <w:numId w:val="35"/>
        </w:numPr>
        <w:rPr>
          <w:lang w:val="en-ZA"/>
        </w:rPr>
      </w:pPr>
      <w:r>
        <w:rPr>
          <w:lang w:val="en-ZA"/>
        </w:rPr>
        <w:t>Respecting intellectual property</w:t>
      </w:r>
    </w:p>
    <w:p w14:paraId="6F41E918" w14:textId="15E87D4D" w:rsidR="009C3480" w:rsidRDefault="00926297" w:rsidP="00D80C1E">
      <w:pPr>
        <w:pStyle w:val="ListParagraph"/>
        <w:numPr>
          <w:ilvl w:val="0"/>
          <w:numId w:val="35"/>
        </w:numPr>
        <w:rPr>
          <w:lang w:val="en-ZA"/>
        </w:rPr>
      </w:pPr>
      <w:r>
        <w:rPr>
          <w:lang w:val="en-ZA"/>
        </w:rPr>
        <w:t>Reporting misconduct</w:t>
      </w:r>
    </w:p>
    <w:p w14:paraId="7B2FC340" w14:textId="69A8434A" w:rsidR="00707E52" w:rsidRDefault="00707E52" w:rsidP="002326D6">
      <w:pPr>
        <w:pStyle w:val="Heading2"/>
        <w:numPr>
          <w:ilvl w:val="0"/>
          <w:numId w:val="0"/>
        </w:numPr>
        <w:rPr>
          <w:lang w:val="en-ZA"/>
        </w:rPr>
      </w:pPr>
      <w:r>
        <w:rPr>
          <w:lang w:val="en-ZA"/>
        </w:rPr>
        <w:lastRenderedPageBreak/>
        <w:t>Harassment, bullying, and discrimination</w:t>
      </w:r>
    </w:p>
    <w:p w14:paraId="30BA2015" w14:textId="5A286C0C" w:rsidR="00707E52" w:rsidRDefault="009B6047" w:rsidP="000973D8">
      <w:pPr>
        <w:rPr>
          <w:lang w:val="en-ZA"/>
        </w:rPr>
      </w:pPr>
      <w:r>
        <w:rPr>
          <w:lang w:val="en-ZA"/>
        </w:rPr>
        <w:t>Polic</w:t>
      </w:r>
      <w:r w:rsidR="00BF1C64">
        <w:rPr>
          <w:lang w:val="en-ZA"/>
        </w:rPr>
        <w:t>y</w:t>
      </w:r>
      <w:r>
        <w:rPr>
          <w:lang w:val="en-ZA"/>
        </w:rPr>
        <w:t xml:space="preserve"> statements on </w:t>
      </w:r>
      <w:r w:rsidRPr="009B6047">
        <w:rPr>
          <w:lang w:val="en-ZA"/>
        </w:rPr>
        <w:t>harassment, bullying, and discrimination should clearly outline expectations, prohibited behaviours, and processes for addressing violation</w:t>
      </w:r>
      <w:r>
        <w:rPr>
          <w:lang w:val="en-ZA"/>
        </w:rPr>
        <w:t>s</w:t>
      </w:r>
      <w:r w:rsidR="00C25ED7">
        <w:rPr>
          <w:lang w:val="en-ZA"/>
        </w:rPr>
        <w:t xml:space="preserve">. This might include: </w:t>
      </w:r>
    </w:p>
    <w:p w14:paraId="1B8EA53D" w14:textId="271061C1" w:rsidR="008B113D" w:rsidRPr="008B113D" w:rsidRDefault="002758D9" w:rsidP="00D80C1E">
      <w:pPr>
        <w:pStyle w:val="ListParagraph"/>
        <w:numPr>
          <w:ilvl w:val="0"/>
          <w:numId w:val="36"/>
        </w:numPr>
        <w:rPr>
          <w:lang w:val="en-ZA"/>
        </w:rPr>
      </w:pPr>
      <w:r w:rsidRPr="008B113D">
        <w:rPr>
          <w:lang w:val="en-ZA"/>
        </w:rPr>
        <w:t xml:space="preserve">A statement </w:t>
      </w:r>
      <w:r w:rsidR="008B113D" w:rsidRPr="008B113D">
        <w:rPr>
          <w:lang w:val="en-ZA"/>
        </w:rPr>
        <w:t xml:space="preserve">of </w:t>
      </w:r>
      <w:r w:rsidRPr="008B113D">
        <w:rPr>
          <w:lang w:val="en-ZA"/>
        </w:rPr>
        <w:t>affirmation that the university does not tolerate any form of harassment, bullying, or discriminatio</w:t>
      </w:r>
      <w:r w:rsidR="008B113D">
        <w:rPr>
          <w:lang w:val="en-ZA"/>
        </w:rPr>
        <w:t>n</w:t>
      </w:r>
      <w:r w:rsidR="00A62E3D">
        <w:rPr>
          <w:lang w:val="en-ZA"/>
        </w:rPr>
        <w:t xml:space="preserve">. </w:t>
      </w:r>
      <w:r w:rsidR="00BF1C64">
        <w:rPr>
          <w:lang w:val="en-ZA"/>
        </w:rPr>
        <w:t>It should a</w:t>
      </w:r>
      <w:r w:rsidR="00A62E3D">
        <w:rPr>
          <w:lang w:val="en-ZA"/>
        </w:rPr>
        <w:t>lso include reference to national legislation and policies that prohibit such behaviours.</w:t>
      </w:r>
      <w:r w:rsidR="002326D6">
        <w:rPr>
          <w:lang w:val="en-ZA"/>
        </w:rPr>
        <w:t xml:space="preserve"> </w:t>
      </w:r>
    </w:p>
    <w:p w14:paraId="0881B6AD" w14:textId="09625754" w:rsidR="002758D9" w:rsidRDefault="00530E16" w:rsidP="00D80C1E">
      <w:pPr>
        <w:pStyle w:val="ListParagraph"/>
        <w:numPr>
          <w:ilvl w:val="0"/>
          <w:numId w:val="36"/>
        </w:numPr>
        <w:rPr>
          <w:lang w:val="en-ZA"/>
        </w:rPr>
      </w:pPr>
      <w:r w:rsidRPr="00D97C42">
        <w:rPr>
          <w:lang w:val="en-ZA"/>
        </w:rPr>
        <w:t>Reaffirm</w:t>
      </w:r>
      <w:r w:rsidR="00BF67C5">
        <w:rPr>
          <w:lang w:val="en-ZA"/>
        </w:rPr>
        <w:t>ing</w:t>
      </w:r>
      <w:r w:rsidRPr="00D97C42">
        <w:rPr>
          <w:lang w:val="en-ZA"/>
        </w:rPr>
        <w:t xml:space="preserve"> the scope of the policy and include physical spaces too. For example, it applies to </w:t>
      </w:r>
      <w:r w:rsidR="002758D9" w:rsidRPr="00D97C42">
        <w:rPr>
          <w:lang w:val="en-ZA"/>
        </w:rPr>
        <w:t>all members of the university community: students, faculty, staff, contractors, and visitors.</w:t>
      </w:r>
      <w:r w:rsidR="00D97C42" w:rsidRPr="00D97C42">
        <w:rPr>
          <w:lang w:val="en-ZA"/>
        </w:rPr>
        <w:t xml:space="preserve"> It also </w:t>
      </w:r>
      <w:r w:rsidR="00D97C42">
        <w:rPr>
          <w:lang w:val="en-ZA"/>
        </w:rPr>
        <w:t>c</w:t>
      </w:r>
      <w:r w:rsidR="002758D9" w:rsidRPr="00D97C42">
        <w:rPr>
          <w:lang w:val="en-ZA"/>
        </w:rPr>
        <w:t>overs conduct on campus, during university-sponsored activities (including online environments), and off-campus when related to the university.</w:t>
      </w:r>
    </w:p>
    <w:p w14:paraId="43201881" w14:textId="3BD0E62D" w:rsidR="002758D9" w:rsidRPr="00D97C42" w:rsidRDefault="00D97C42" w:rsidP="00D80C1E">
      <w:pPr>
        <w:pStyle w:val="ListParagraph"/>
        <w:numPr>
          <w:ilvl w:val="0"/>
          <w:numId w:val="36"/>
        </w:numPr>
        <w:rPr>
          <w:lang w:val="en-ZA"/>
        </w:rPr>
      </w:pPr>
      <w:r w:rsidRPr="00D97C42">
        <w:rPr>
          <w:lang w:val="en-ZA"/>
        </w:rPr>
        <w:t>Provid</w:t>
      </w:r>
      <w:r w:rsidR="00BF67C5">
        <w:rPr>
          <w:lang w:val="en-ZA"/>
        </w:rPr>
        <w:t>ing</w:t>
      </w:r>
      <w:r w:rsidRPr="00D97C42">
        <w:rPr>
          <w:lang w:val="en-ZA"/>
        </w:rPr>
        <w:t xml:space="preserve"> e</w:t>
      </w:r>
      <w:r w:rsidR="002758D9" w:rsidRPr="00D97C42">
        <w:rPr>
          <w:lang w:val="en-ZA"/>
        </w:rPr>
        <w:t xml:space="preserve">xamples of </w:t>
      </w:r>
      <w:r w:rsidRPr="00D97C42">
        <w:rPr>
          <w:lang w:val="en-ZA"/>
        </w:rPr>
        <w:t>p</w:t>
      </w:r>
      <w:r w:rsidR="002758D9" w:rsidRPr="00D97C42">
        <w:rPr>
          <w:lang w:val="en-ZA"/>
        </w:rPr>
        <w:t xml:space="preserve">rohibited </w:t>
      </w:r>
      <w:r w:rsidRPr="00D97C42">
        <w:rPr>
          <w:lang w:val="en-ZA"/>
        </w:rPr>
        <w:t>behaviour, such as v</w:t>
      </w:r>
      <w:r w:rsidR="002758D9" w:rsidRPr="00D97C42">
        <w:rPr>
          <w:lang w:val="en-ZA"/>
        </w:rPr>
        <w:t>erbal abuse, slurs, threats, or derogatory remarks</w:t>
      </w:r>
      <w:r w:rsidRPr="00D97C42">
        <w:rPr>
          <w:lang w:val="en-ZA"/>
        </w:rPr>
        <w:t>, p</w:t>
      </w:r>
      <w:r w:rsidR="002758D9" w:rsidRPr="00D97C42">
        <w:rPr>
          <w:lang w:val="en-ZA"/>
        </w:rPr>
        <w:t>hysical intimidation or assault</w:t>
      </w:r>
      <w:r w:rsidRPr="00D97C42">
        <w:rPr>
          <w:lang w:val="en-ZA"/>
        </w:rPr>
        <w:t>, c</w:t>
      </w:r>
      <w:r w:rsidR="002758D9" w:rsidRPr="00D97C42">
        <w:rPr>
          <w:lang w:val="en-ZA"/>
        </w:rPr>
        <w:t>yberbullying, including harassment via email or social media</w:t>
      </w:r>
      <w:r w:rsidRPr="00D97C42">
        <w:rPr>
          <w:lang w:val="en-ZA"/>
        </w:rPr>
        <w:t>, e</w:t>
      </w:r>
      <w:r w:rsidR="002758D9" w:rsidRPr="00D97C42">
        <w:rPr>
          <w:lang w:val="en-ZA"/>
        </w:rPr>
        <w:t>xclusion, humiliation, or manipulation in group settings</w:t>
      </w:r>
      <w:r w:rsidRPr="00D97C42">
        <w:rPr>
          <w:lang w:val="en-ZA"/>
        </w:rPr>
        <w:t>, s</w:t>
      </w:r>
      <w:r w:rsidR="002758D9" w:rsidRPr="00D97C42">
        <w:rPr>
          <w:lang w:val="en-ZA"/>
        </w:rPr>
        <w:t>exual harassment</w:t>
      </w:r>
      <w:r w:rsidR="00BF1C64">
        <w:rPr>
          <w:lang w:val="en-ZA"/>
        </w:rPr>
        <w:t xml:space="preserve"> (</w:t>
      </w:r>
      <w:r w:rsidR="002758D9" w:rsidRPr="00D97C42">
        <w:rPr>
          <w:lang w:val="en-ZA"/>
        </w:rPr>
        <w:t>including unwelcome advances or comments</w:t>
      </w:r>
      <w:r w:rsidR="00BF1C64">
        <w:rPr>
          <w:lang w:val="en-ZA"/>
        </w:rPr>
        <w:t>)</w:t>
      </w:r>
      <w:r w:rsidRPr="00D97C42">
        <w:rPr>
          <w:lang w:val="en-ZA"/>
        </w:rPr>
        <w:t xml:space="preserve">, </w:t>
      </w:r>
      <w:r>
        <w:rPr>
          <w:lang w:val="en-ZA"/>
        </w:rPr>
        <w:t>and r</w:t>
      </w:r>
      <w:r w:rsidR="002758D9" w:rsidRPr="00D97C42">
        <w:rPr>
          <w:lang w:val="en-ZA"/>
        </w:rPr>
        <w:t xml:space="preserve">etaliation against individuals who report or oppose such </w:t>
      </w:r>
      <w:r w:rsidRPr="00D97C42">
        <w:rPr>
          <w:lang w:val="en-ZA"/>
        </w:rPr>
        <w:t>behaviour</w:t>
      </w:r>
      <w:r w:rsidR="002758D9" w:rsidRPr="00D97C42">
        <w:rPr>
          <w:lang w:val="en-ZA"/>
        </w:rPr>
        <w:t>.</w:t>
      </w:r>
    </w:p>
    <w:p w14:paraId="530E453F" w14:textId="6A1ACC42" w:rsidR="002758D9" w:rsidRPr="00611656" w:rsidRDefault="00D97C42" w:rsidP="00D80C1E">
      <w:pPr>
        <w:pStyle w:val="ListParagraph"/>
        <w:numPr>
          <w:ilvl w:val="0"/>
          <w:numId w:val="36"/>
        </w:numPr>
        <w:rPr>
          <w:lang w:val="en-ZA"/>
        </w:rPr>
      </w:pPr>
      <w:r w:rsidRPr="00611656">
        <w:rPr>
          <w:lang w:val="en-ZA"/>
        </w:rPr>
        <w:t>Ensur</w:t>
      </w:r>
      <w:r w:rsidR="00BF67C5" w:rsidRPr="00611656">
        <w:rPr>
          <w:lang w:val="en-ZA"/>
        </w:rPr>
        <w:t>ing that staff are clear about their r</w:t>
      </w:r>
      <w:r w:rsidR="002758D9" w:rsidRPr="00611656">
        <w:rPr>
          <w:lang w:val="en-ZA"/>
        </w:rPr>
        <w:t xml:space="preserve">ights and </w:t>
      </w:r>
      <w:r w:rsidR="00BF67C5" w:rsidRPr="00611656">
        <w:rPr>
          <w:lang w:val="en-ZA"/>
        </w:rPr>
        <w:t>r</w:t>
      </w:r>
      <w:r w:rsidR="002758D9" w:rsidRPr="00611656">
        <w:rPr>
          <w:lang w:val="en-ZA"/>
        </w:rPr>
        <w:t>esponsibilities</w:t>
      </w:r>
      <w:r w:rsidR="00BF67C5" w:rsidRPr="00611656">
        <w:rPr>
          <w:lang w:val="en-ZA"/>
        </w:rPr>
        <w:t xml:space="preserve">, including </w:t>
      </w:r>
      <w:r w:rsidR="00611656" w:rsidRPr="00611656">
        <w:rPr>
          <w:lang w:val="en-ZA"/>
        </w:rPr>
        <w:t xml:space="preserve">to </w:t>
      </w:r>
      <w:r w:rsidR="002758D9" w:rsidRPr="00611656">
        <w:rPr>
          <w:lang w:val="en-ZA"/>
        </w:rPr>
        <w:t>learn and work in an environment free from discrimination and abuse</w:t>
      </w:r>
      <w:r w:rsidR="00611656" w:rsidRPr="00611656">
        <w:rPr>
          <w:lang w:val="en-ZA"/>
        </w:rPr>
        <w:t xml:space="preserve">, and to treat others </w:t>
      </w:r>
      <w:r w:rsidR="002758D9" w:rsidRPr="00611656">
        <w:rPr>
          <w:lang w:val="en-ZA"/>
        </w:rPr>
        <w:t xml:space="preserve">with dignity and </w:t>
      </w:r>
      <w:r w:rsidR="00611656">
        <w:rPr>
          <w:lang w:val="en-ZA"/>
        </w:rPr>
        <w:t>respect</w:t>
      </w:r>
      <w:r w:rsidR="002758D9" w:rsidRPr="00611656">
        <w:rPr>
          <w:lang w:val="en-ZA"/>
        </w:rPr>
        <w:t>.</w:t>
      </w:r>
    </w:p>
    <w:p w14:paraId="477786CB" w14:textId="0EE71A49" w:rsidR="002758D9" w:rsidRPr="00B50493" w:rsidRDefault="00611656" w:rsidP="00D80C1E">
      <w:pPr>
        <w:pStyle w:val="ListParagraph"/>
        <w:numPr>
          <w:ilvl w:val="0"/>
          <w:numId w:val="36"/>
        </w:numPr>
        <w:rPr>
          <w:lang w:val="en-ZA"/>
        </w:rPr>
      </w:pPr>
      <w:r w:rsidRPr="00B50493">
        <w:rPr>
          <w:lang w:val="en-ZA"/>
        </w:rPr>
        <w:t>P</w:t>
      </w:r>
      <w:r w:rsidR="00B50493" w:rsidRPr="00B50493">
        <w:rPr>
          <w:lang w:val="en-ZA"/>
        </w:rPr>
        <w:t xml:space="preserve">roviding </w:t>
      </w:r>
      <w:r w:rsidR="00B50493">
        <w:rPr>
          <w:lang w:val="en-ZA"/>
        </w:rPr>
        <w:t>c</w:t>
      </w:r>
      <w:r w:rsidR="002758D9" w:rsidRPr="00B50493">
        <w:rPr>
          <w:lang w:val="en-ZA"/>
        </w:rPr>
        <w:t>lear guidance on how to report incidents</w:t>
      </w:r>
      <w:r w:rsidR="00B50493">
        <w:rPr>
          <w:lang w:val="en-ZA"/>
        </w:rPr>
        <w:t>.</w:t>
      </w:r>
    </w:p>
    <w:p w14:paraId="64D68025" w14:textId="4F91BCAF" w:rsidR="002758D9" w:rsidRPr="002758D9" w:rsidRDefault="00621DD7" w:rsidP="00D80C1E">
      <w:pPr>
        <w:pStyle w:val="ListParagraph"/>
        <w:numPr>
          <w:ilvl w:val="0"/>
          <w:numId w:val="36"/>
        </w:numPr>
        <w:rPr>
          <w:lang w:val="en-ZA"/>
        </w:rPr>
      </w:pPr>
      <w:r>
        <w:rPr>
          <w:lang w:val="en-ZA"/>
        </w:rPr>
        <w:t xml:space="preserve">Stipulating how those who report incidents will be protected from </w:t>
      </w:r>
      <w:r w:rsidR="00E54BA5">
        <w:rPr>
          <w:lang w:val="en-ZA"/>
        </w:rPr>
        <w:t xml:space="preserve">retaliation. </w:t>
      </w:r>
    </w:p>
    <w:p w14:paraId="578C3E4E" w14:textId="1AB103E0" w:rsidR="00707E52" w:rsidRDefault="00E54BA5" w:rsidP="00D80C1E">
      <w:pPr>
        <w:pStyle w:val="ListParagraph"/>
        <w:numPr>
          <w:ilvl w:val="0"/>
          <w:numId w:val="36"/>
        </w:numPr>
        <w:rPr>
          <w:lang w:val="en-ZA"/>
        </w:rPr>
      </w:pPr>
      <w:r w:rsidRPr="00E54BA5">
        <w:rPr>
          <w:lang w:val="en-ZA"/>
        </w:rPr>
        <w:t xml:space="preserve">Indicating which institutional support services and resources are available </w:t>
      </w:r>
      <w:r>
        <w:rPr>
          <w:lang w:val="en-ZA"/>
        </w:rPr>
        <w:t xml:space="preserve">for those experiencing any form of </w:t>
      </w:r>
      <w:r w:rsidR="004B32A8">
        <w:rPr>
          <w:lang w:val="en-ZA"/>
        </w:rPr>
        <w:t>bullying, harassment, or discrimination, along with relevant contact information for such support structures.</w:t>
      </w:r>
    </w:p>
    <w:p w14:paraId="4CD74127" w14:textId="570D04E0" w:rsidR="00707E52" w:rsidRDefault="00004AAF" w:rsidP="002326D6">
      <w:pPr>
        <w:pStyle w:val="Heading2"/>
        <w:numPr>
          <w:ilvl w:val="0"/>
          <w:numId w:val="0"/>
        </w:numPr>
        <w:rPr>
          <w:lang w:val="en-ZA"/>
        </w:rPr>
      </w:pPr>
      <w:r>
        <w:rPr>
          <w:lang w:val="en-ZA"/>
        </w:rPr>
        <w:t>Interpersonal</w:t>
      </w:r>
      <w:r w:rsidR="001A55EE">
        <w:rPr>
          <w:lang w:val="en-ZA"/>
        </w:rPr>
        <w:t xml:space="preserve"> relationships</w:t>
      </w:r>
    </w:p>
    <w:p w14:paraId="003E94AC" w14:textId="741EA2EC" w:rsidR="0095373A" w:rsidRDefault="00004AAF" w:rsidP="000973D8">
      <w:pPr>
        <w:rPr>
          <w:lang w:val="en-ZA"/>
        </w:rPr>
      </w:pPr>
      <w:r>
        <w:rPr>
          <w:lang w:val="en-ZA"/>
        </w:rPr>
        <w:t xml:space="preserve">Policy statements on interpersonal relationships </w:t>
      </w:r>
      <w:r w:rsidR="00691A4E" w:rsidRPr="00691A4E">
        <w:rPr>
          <w:lang w:val="en-ZA"/>
        </w:rPr>
        <w:t>at work, particularly those involving power imbalances (e.g., staff-to-staff or staff-to-student)</w:t>
      </w:r>
      <w:r>
        <w:rPr>
          <w:lang w:val="en-ZA"/>
        </w:rPr>
        <w:t xml:space="preserve"> should </w:t>
      </w:r>
      <w:r w:rsidR="00691A4E" w:rsidRPr="00691A4E">
        <w:rPr>
          <w:lang w:val="en-ZA"/>
        </w:rPr>
        <w:t>uphold professionalism, prevent conflicts of interest, protect all parties (especially those in vulnerable positions), and maintain institutional integrity.</w:t>
      </w:r>
      <w:r>
        <w:rPr>
          <w:lang w:val="en-ZA"/>
        </w:rPr>
        <w:t xml:space="preserve"> </w:t>
      </w:r>
      <w:r w:rsidR="0095373A">
        <w:rPr>
          <w:lang w:val="en-ZA"/>
        </w:rPr>
        <w:t>These policy statements could include a focus on:</w:t>
      </w:r>
    </w:p>
    <w:p w14:paraId="5065ED73" w14:textId="12AB302B" w:rsidR="0095373A" w:rsidRDefault="0095373A" w:rsidP="00D80C1E">
      <w:pPr>
        <w:pStyle w:val="ListParagraph"/>
        <w:numPr>
          <w:ilvl w:val="0"/>
          <w:numId w:val="37"/>
        </w:numPr>
        <w:rPr>
          <w:lang w:val="en-ZA"/>
        </w:rPr>
      </w:pPr>
      <w:r>
        <w:rPr>
          <w:lang w:val="en-ZA"/>
        </w:rPr>
        <w:t>Professional boundaries</w:t>
      </w:r>
    </w:p>
    <w:p w14:paraId="23A0AEA7" w14:textId="73C534D7" w:rsidR="0095373A" w:rsidRDefault="00E139BF" w:rsidP="00D80C1E">
      <w:pPr>
        <w:pStyle w:val="ListParagraph"/>
        <w:numPr>
          <w:ilvl w:val="0"/>
          <w:numId w:val="37"/>
        </w:numPr>
        <w:rPr>
          <w:lang w:val="en-ZA"/>
        </w:rPr>
      </w:pPr>
      <w:r w:rsidRPr="00E139BF">
        <w:rPr>
          <w:lang w:val="en-ZA"/>
        </w:rPr>
        <w:t xml:space="preserve">Prohibition or </w:t>
      </w:r>
      <w:r>
        <w:rPr>
          <w:lang w:val="en-ZA"/>
        </w:rPr>
        <w:t>r</w:t>
      </w:r>
      <w:r w:rsidRPr="00E139BF">
        <w:rPr>
          <w:lang w:val="en-ZA"/>
        </w:rPr>
        <w:t xml:space="preserve">egulation of </w:t>
      </w:r>
      <w:r>
        <w:rPr>
          <w:lang w:val="en-ZA"/>
        </w:rPr>
        <w:t>r</w:t>
      </w:r>
      <w:r w:rsidRPr="00E139BF">
        <w:rPr>
          <w:lang w:val="en-ZA"/>
        </w:rPr>
        <w:t xml:space="preserve">elationships </w:t>
      </w:r>
      <w:r>
        <w:rPr>
          <w:lang w:val="en-ZA"/>
        </w:rPr>
        <w:t>i</w:t>
      </w:r>
      <w:r w:rsidRPr="00E139BF">
        <w:rPr>
          <w:lang w:val="en-ZA"/>
        </w:rPr>
        <w:t xml:space="preserve">nvolving </w:t>
      </w:r>
      <w:r>
        <w:rPr>
          <w:lang w:val="en-ZA"/>
        </w:rPr>
        <w:t>p</w:t>
      </w:r>
      <w:r w:rsidRPr="00E139BF">
        <w:rPr>
          <w:lang w:val="en-ZA"/>
        </w:rPr>
        <w:t xml:space="preserve">ower </w:t>
      </w:r>
      <w:r>
        <w:rPr>
          <w:lang w:val="en-ZA"/>
        </w:rPr>
        <w:t>i</w:t>
      </w:r>
      <w:r w:rsidRPr="00E139BF">
        <w:rPr>
          <w:lang w:val="en-ZA"/>
        </w:rPr>
        <w:t>mbalance</w:t>
      </w:r>
      <w:r w:rsidR="0086310F">
        <w:rPr>
          <w:lang w:val="en-ZA"/>
        </w:rPr>
        <w:t xml:space="preserve"> (e.g., discouraging romantic relationships between staff and </w:t>
      </w:r>
      <w:r w:rsidR="00BF1C64">
        <w:rPr>
          <w:lang w:val="en-ZA"/>
        </w:rPr>
        <w:t xml:space="preserve">the </w:t>
      </w:r>
      <w:r w:rsidR="00650B42">
        <w:rPr>
          <w:lang w:val="en-ZA"/>
        </w:rPr>
        <w:t>students they teach or supervise to avoid conflict</w:t>
      </w:r>
      <w:r w:rsidR="00E05206">
        <w:rPr>
          <w:lang w:val="en-ZA"/>
        </w:rPr>
        <w:t>s</w:t>
      </w:r>
      <w:r w:rsidR="00650B42">
        <w:rPr>
          <w:lang w:val="en-ZA"/>
        </w:rPr>
        <w:t xml:space="preserve"> of interest)</w:t>
      </w:r>
    </w:p>
    <w:p w14:paraId="0E12D3BA" w14:textId="7B61DE97" w:rsidR="00731990" w:rsidRDefault="00731990" w:rsidP="00D80C1E">
      <w:pPr>
        <w:pStyle w:val="ListParagraph"/>
        <w:numPr>
          <w:ilvl w:val="0"/>
          <w:numId w:val="37"/>
        </w:numPr>
        <w:rPr>
          <w:lang w:val="en-ZA"/>
        </w:rPr>
      </w:pPr>
      <w:r>
        <w:rPr>
          <w:lang w:val="en-ZA"/>
        </w:rPr>
        <w:t xml:space="preserve">Protection statements for vulnerable staff/students </w:t>
      </w:r>
      <w:r w:rsidR="00FF2E94">
        <w:rPr>
          <w:lang w:val="en-ZA"/>
        </w:rPr>
        <w:t>(e.g., what to do when being taken advantage of by someone)</w:t>
      </w:r>
    </w:p>
    <w:p w14:paraId="71087102" w14:textId="5DB97D7F" w:rsidR="00650B42" w:rsidRPr="0095373A" w:rsidRDefault="00731990" w:rsidP="00D80C1E">
      <w:pPr>
        <w:pStyle w:val="ListParagraph"/>
        <w:numPr>
          <w:ilvl w:val="0"/>
          <w:numId w:val="37"/>
        </w:numPr>
        <w:rPr>
          <w:lang w:val="en-ZA"/>
        </w:rPr>
      </w:pPr>
      <w:r>
        <w:rPr>
          <w:lang w:val="en-ZA"/>
        </w:rPr>
        <w:t>Support and reporting mechanisms</w:t>
      </w:r>
      <w:r w:rsidR="00E05206">
        <w:rPr>
          <w:lang w:val="en-ZA"/>
        </w:rPr>
        <w:t>.</w:t>
      </w:r>
    </w:p>
    <w:p w14:paraId="447299BD" w14:textId="25975A97" w:rsidR="001A55EE" w:rsidRDefault="001A55EE" w:rsidP="002326D6">
      <w:pPr>
        <w:pStyle w:val="Heading2"/>
        <w:numPr>
          <w:ilvl w:val="0"/>
          <w:numId w:val="0"/>
        </w:numPr>
        <w:rPr>
          <w:lang w:val="en-ZA"/>
        </w:rPr>
      </w:pPr>
      <w:r>
        <w:rPr>
          <w:lang w:val="en-ZA"/>
        </w:rPr>
        <w:t>Conflict of interest</w:t>
      </w:r>
    </w:p>
    <w:p w14:paraId="205212A7" w14:textId="732877C2" w:rsidR="001A55EE" w:rsidRDefault="00543EAD" w:rsidP="000973D8">
      <w:pPr>
        <w:rPr>
          <w:lang w:val="en-ZA"/>
        </w:rPr>
      </w:pPr>
      <w:r>
        <w:rPr>
          <w:lang w:val="en-ZA"/>
        </w:rPr>
        <w:t xml:space="preserve">Conflict of interest </w:t>
      </w:r>
      <w:r w:rsidR="00AD4355">
        <w:rPr>
          <w:lang w:val="en-ZA"/>
        </w:rPr>
        <w:t xml:space="preserve">might </w:t>
      </w:r>
      <w:r>
        <w:rPr>
          <w:lang w:val="en-ZA"/>
        </w:rPr>
        <w:t>include:</w:t>
      </w:r>
    </w:p>
    <w:p w14:paraId="5E7F27F1" w14:textId="66BD8179" w:rsidR="00543EAD" w:rsidRDefault="00543EAD" w:rsidP="00D80C1E">
      <w:pPr>
        <w:pStyle w:val="ListParagraph"/>
        <w:numPr>
          <w:ilvl w:val="0"/>
          <w:numId w:val="38"/>
        </w:numPr>
        <w:rPr>
          <w:lang w:val="en-ZA"/>
        </w:rPr>
      </w:pPr>
      <w:r>
        <w:rPr>
          <w:lang w:val="en-ZA"/>
        </w:rPr>
        <w:t>Decision-making bias</w:t>
      </w:r>
      <w:r w:rsidR="00E05206">
        <w:rPr>
          <w:lang w:val="en-ZA"/>
        </w:rPr>
        <w:t xml:space="preserve"> </w:t>
      </w:r>
      <w:r w:rsidR="00E31D41">
        <w:rPr>
          <w:lang w:val="en-ZA"/>
        </w:rPr>
        <w:t>/</w:t>
      </w:r>
      <w:r w:rsidR="00E05206">
        <w:rPr>
          <w:lang w:val="en-ZA"/>
        </w:rPr>
        <w:t xml:space="preserve"> </w:t>
      </w:r>
      <w:r w:rsidR="00E31D41">
        <w:rPr>
          <w:lang w:val="en-ZA"/>
        </w:rPr>
        <w:t>favouritism</w:t>
      </w:r>
      <w:r>
        <w:rPr>
          <w:lang w:val="en-ZA"/>
        </w:rPr>
        <w:t xml:space="preserve"> (e.g., </w:t>
      </w:r>
      <w:r w:rsidR="0083484F">
        <w:rPr>
          <w:lang w:val="en-ZA"/>
        </w:rPr>
        <w:t>grading a student they are dating, or recommending a promotion for a romantic partner)</w:t>
      </w:r>
    </w:p>
    <w:p w14:paraId="0448077E" w14:textId="77777777" w:rsidR="00101599" w:rsidRDefault="00DA455E" w:rsidP="00D80C1E">
      <w:pPr>
        <w:pStyle w:val="ListParagraph"/>
        <w:numPr>
          <w:ilvl w:val="0"/>
          <w:numId w:val="38"/>
        </w:numPr>
        <w:rPr>
          <w:lang w:val="en-ZA"/>
        </w:rPr>
      </w:pPr>
      <w:r>
        <w:rPr>
          <w:lang w:val="en-ZA"/>
        </w:rPr>
        <w:t xml:space="preserve">Financial conflicts (e.g., </w:t>
      </w:r>
      <w:r w:rsidR="00101599">
        <w:rPr>
          <w:lang w:val="en-ZA"/>
        </w:rPr>
        <w:t>having a financial stake in a vendor contracted by the institution)</w:t>
      </w:r>
    </w:p>
    <w:p w14:paraId="5D890458" w14:textId="77777777" w:rsidR="00902DA8" w:rsidRDefault="00101599" w:rsidP="00D80C1E">
      <w:pPr>
        <w:pStyle w:val="ListParagraph"/>
        <w:numPr>
          <w:ilvl w:val="0"/>
          <w:numId w:val="38"/>
        </w:numPr>
        <w:rPr>
          <w:lang w:val="en-ZA"/>
        </w:rPr>
      </w:pPr>
      <w:r>
        <w:rPr>
          <w:lang w:val="en-ZA"/>
        </w:rPr>
        <w:t xml:space="preserve">Dual professional roles (e.g., </w:t>
      </w:r>
      <w:r w:rsidR="00902DA8">
        <w:rPr>
          <w:lang w:val="en-ZA"/>
        </w:rPr>
        <w:t>holding multiple positions that may compete with professional interests)</w:t>
      </w:r>
    </w:p>
    <w:p w14:paraId="5131B575" w14:textId="63178583" w:rsidR="00AD4355" w:rsidRDefault="00902DA8" w:rsidP="00D80C1E">
      <w:pPr>
        <w:pStyle w:val="ListParagraph"/>
        <w:numPr>
          <w:ilvl w:val="0"/>
          <w:numId w:val="38"/>
        </w:numPr>
        <w:rPr>
          <w:lang w:val="en-ZA"/>
        </w:rPr>
      </w:pPr>
      <w:r>
        <w:rPr>
          <w:lang w:val="en-ZA"/>
        </w:rPr>
        <w:t>Use of institutional resources for personal gain</w:t>
      </w:r>
      <w:r w:rsidR="00E05206">
        <w:rPr>
          <w:lang w:val="en-ZA"/>
        </w:rPr>
        <w:t>.</w:t>
      </w:r>
    </w:p>
    <w:p w14:paraId="69F3ABB5" w14:textId="37CB4CB4" w:rsidR="0083484F" w:rsidRPr="00AD4355" w:rsidRDefault="0083484F" w:rsidP="00AD4355">
      <w:pPr>
        <w:rPr>
          <w:lang w:val="en-ZA"/>
        </w:rPr>
      </w:pPr>
    </w:p>
    <w:p w14:paraId="23298595" w14:textId="12CDF0E3" w:rsidR="001A55EE" w:rsidRDefault="00AD4355" w:rsidP="000973D8">
      <w:pPr>
        <w:rPr>
          <w:lang w:val="en-ZA"/>
        </w:rPr>
      </w:pPr>
      <w:r>
        <w:rPr>
          <w:lang w:val="en-ZA"/>
        </w:rPr>
        <w:t>Policy statements should be clear on the institution’s position on such conflicts, as well as what steps staff should take to disclose p</w:t>
      </w:r>
      <w:r w:rsidR="00745D1C">
        <w:rPr>
          <w:lang w:val="en-ZA"/>
        </w:rPr>
        <w:t xml:space="preserve">otential conflicts of interest. </w:t>
      </w:r>
    </w:p>
    <w:p w14:paraId="2CF06796" w14:textId="04D68741" w:rsidR="001A55EE" w:rsidRDefault="007B348E" w:rsidP="002326D6">
      <w:pPr>
        <w:pStyle w:val="Heading2"/>
        <w:numPr>
          <w:ilvl w:val="0"/>
          <w:numId w:val="0"/>
        </w:numPr>
        <w:rPr>
          <w:lang w:val="en-ZA"/>
        </w:rPr>
      </w:pPr>
      <w:r>
        <w:rPr>
          <w:lang w:val="en-ZA"/>
        </w:rPr>
        <w:t>Gifting</w:t>
      </w:r>
      <w:r w:rsidR="0066518D">
        <w:rPr>
          <w:lang w:val="en-ZA"/>
        </w:rPr>
        <w:t xml:space="preserve"> and donations</w:t>
      </w:r>
    </w:p>
    <w:p w14:paraId="62AAD728" w14:textId="4F28B458" w:rsidR="007B348E" w:rsidRDefault="003A3452" w:rsidP="000973D8">
      <w:pPr>
        <w:rPr>
          <w:lang w:val="en-ZA"/>
        </w:rPr>
      </w:pPr>
      <w:r>
        <w:rPr>
          <w:lang w:val="en-ZA"/>
        </w:rPr>
        <w:t xml:space="preserve">A Code of Conduct policy should be clear about </w:t>
      </w:r>
      <w:r w:rsidR="000C643F">
        <w:rPr>
          <w:lang w:val="en-ZA"/>
        </w:rPr>
        <w:t xml:space="preserve">what gifts/donations are acceptable under which conditions. </w:t>
      </w:r>
      <w:r w:rsidR="00CE7198">
        <w:rPr>
          <w:lang w:val="en-ZA"/>
        </w:rPr>
        <w:t>Receiving gifts/donations could be viewed as attempts to influence relationships or decisions</w:t>
      </w:r>
      <w:r w:rsidR="000E5143">
        <w:rPr>
          <w:lang w:val="en-ZA"/>
        </w:rPr>
        <w:t xml:space="preserve"> and the institution’s stance on such behaviours and the correct way to deal with receiving/giving gifts</w:t>
      </w:r>
      <w:r w:rsidR="00E05206">
        <w:rPr>
          <w:lang w:val="en-ZA"/>
        </w:rPr>
        <w:t xml:space="preserve"> and</w:t>
      </w:r>
      <w:r w:rsidR="000E5143">
        <w:rPr>
          <w:lang w:val="en-ZA"/>
        </w:rPr>
        <w:t>/</w:t>
      </w:r>
      <w:r w:rsidR="00E05206">
        <w:rPr>
          <w:lang w:val="en-ZA"/>
        </w:rPr>
        <w:t xml:space="preserve">or </w:t>
      </w:r>
      <w:r w:rsidR="000E5143">
        <w:rPr>
          <w:lang w:val="en-ZA"/>
        </w:rPr>
        <w:t xml:space="preserve">donations should be clear. </w:t>
      </w:r>
    </w:p>
    <w:p w14:paraId="3583F7D2" w14:textId="30A0C200" w:rsidR="00707E52" w:rsidRDefault="007B348E" w:rsidP="002326D6">
      <w:pPr>
        <w:pStyle w:val="Heading2"/>
        <w:numPr>
          <w:ilvl w:val="0"/>
          <w:numId w:val="0"/>
        </w:numPr>
        <w:rPr>
          <w:lang w:val="en-ZA"/>
        </w:rPr>
      </w:pPr>
      <w:r>
        <w:rPr>
          <w:lang w:val="en-ZA"/>
        </w:rPr>
        <w:t>Fraud, theft</w:t>
      </w:r>
      <w:r w:rsidR="002326D6">
        <w:rPr>
          <w:lang w:val="en-ZA"/>
        </w:rPr>
        <w:t>,</w:t>
      </w:r>
      <w:r>
        <w:rPr>
          <w:lang w:val="en-ZA"/>
        </w:rPr>
        <w:t xml:space="preserve"> and corruption</w:t>
      </w:r>
    </w:p>
    <w:p w14:paraId="56E6A06F" w14:textId="51E027A2" w:rsidR="00707E52" w:rsidRDefault="00883C6D" w:rsidP="000973D8">
      <w:pPr>
        <w:rPr>
          <w:lang w:val="en-ZA"/>
        </w:rPr>
      </w:pPr>
      <w:r>
        <w:rPr>
          <w:lang w:val="en-ZA"/>
        </w:rPr>
        <w:t>Institutions are subject to legislation</w:t>
      </w:r>
      <w:r w:rsidR="00CE47B8">
        <w:rPr>
          <w:lang w:val="en-ZA"/>
        </w:rPr>
        <w:t xml:space="preserve"> and should be clear on how it will deal with criminal offences such as fraud, theft, and corruption. </w:t>
      </w:r>
    </w:p>
    <w:p w14:paraId="0CB08DD5" w14:textId="4E16ACDD" w:rsidR="00352217" w:rsidRDefault="00352217" w:rsidP="002326D6">
      <w:pPr>
        <w:pStyle w:val="Heading2"/>
        <w:numPr>
          <w:ilvl w:val="0"/>
          <w:numId w:val="0"/>
        </w:numPr>
        <w:rPr>
          <w:lang w:val="en-ZA"/>
        </w:rPr>
      </w:pPr>
      <w:r>
        <w:rPr>
          <w:lang w:val="en-ZA"/>
        </w:rPr>
        <w:t xml:space="preserve">Use of </w:t>
      </w:r>
      <w:r w:rsidR="00F40096">
        <w:rPr>
          <w:lang w:val="en-ZA"/>
        </w:rPr>
        <w:t xml:space="preserve">institutional </w:t>
      </w:r>
      <w:r>
        <w:rPr>
          <w:lang w:val="en-ZA"/>
        </w:rPr>
        <w:t>property</w:t>
      </w:r>
    </w:p>
    <w:p w14:paraId="420D98CC" w14:textId="3EFC88A8" w:rsidR="00052877" w:rsidRDefault="00F50840" w:rsidP="00CA2738">
      <w:pPr>
        <w:rPr>
          <w:lang w:val="en-ZA"/>
        </w:rPr>
      </w:pPr>
      <w:r>
        <w:rPr>
          <w:lang w:val="en-ZA"/>
        </w:rPr>
        <w:t xml:space="preserve">The responsible use of </w:t>
      </w:r>
      <w:r w:rsidR="00F40096">
        <w:rPr>
          <w:lang w:val="en-ZA"/>
        </w:rPr>
        <w:t>institutional</w:t>
      </w:r>
      <w:r>
        <w:rPr>
          <w:lang w:val="en-ZA"/>
        </w:rPr>
        <w:t xml:space="preserve"> property is often included in Code of Conduct policies as it guides staff</w:t>
      </w:r>
      <w:r w:rsidR="00C62B32">
        <w:rPr>
          <w:lang w:val="en-ZA"/>
        </w:rPr>
        <w:t xml:space="preserve"> behaviour towards what is acceptable and unacceptable when using </w:t>
      </w:r>
      <w:r w:rsidR="00F40096">
        <w:rPr>
          <w:lang w:val="en-ZA"/>
        </w:rPr>
        <w:t xml:space="preserve">institutional </w:t>
      </w:r>
      <w:r w:rsidR="00382F15">
        <w:rPr>
          <w:lang w:val="en-ZA"/>
        </w:rPr>
        <w:t>property. Some focus points of policy statements can include:</w:t>
      </w:r>
    </w:p>
    <w:p w14:paraId="2E9B2902" w14:textId="69CD5593" w:rsidR="00382F15" w:rsidRPr="00776638" w:rsidRDefault="00F40096" w:rsidP="00D80C1E">
      <w:pPr>
        <w:pStyle w:val="ListParagraph"/>
        <w:numPr>
          <w:ilvl w:val="0"/>
          <w:numId w:val="39"/>
        </w:numPr>
        <w:rPr>
          <w:lang w:val="en-ZA"/>
        </w:rPr>
      </w:pPr>
      <w:r>
        <w:rPr>
          <w:lang w:val="en-ZA"/>
        </w:rPr>
        <w:t>G</w:t>
      </w:r>
      <w:r w:rsidR="00382F15" w:rsidRPr="00382F15">
        <w:rPr>
          <w:lang w:val="en-ZA"/>
        </w:rPr>
        <w:t xml:space="preserve">eneral </w:t>
      </w:r>
      <w:r w:rsidR="00382F15">
        <w:rPr>
          <w:lang w:val="en-ZA"/>
        </w:rPr>
        <w:t>u</w:t>
      </w:r>
      <w:r w:rsidR="00382F15" w:rsidRPr="00382F15">
        <w:rPr>
          <w:lang w:val="en-ZA"/>
        </w:rPr>
        <w:t xml:space="preserve">se </w:t>
      </w:r>
      <w:r w:rsidR="00382F15">
        <w:rPr>
          <w:lang w:val="en-ZA"/>
        </w:rPr>
        <w:t>s</w:t>
      </w:r>
      <w:r w:rsidR="00382F15" w:rsidRPr="00382F15">
        <w:rPr>
          <w:lang w:val="en-ZA"/>
        </w:rPr>
        <w:t>tatement</w:t>
      </w:r>
      <w:r>
        <w:rPr>
          <w:lang w:val="en-ZA"/>
        </w:rPr>
        <w:t>s that describe what is meant by institutional property</w:t>
      </w:r>
      <w:r w:rsidR="002348E6">
        <w:rPr>
          <w:lang w:val="en-ZA"/>
        </w:rPr>
        <w:t xml:space="preserve">, and what is expected from staff when using it. </w:t>
      </w:r>
      <w:r w:rsidR="00850966">
        <w:rPr>
          <w:lang w:val="en-ZA"/>
        </w:rPr>
        <w:t>For example,</w:t>
      </w:r>
      <w:r w:rsidR="00D70762">
        <w:rPr>
          <w:lang w:val="en-ZA"/>
        </w:rPr>
        <w:t xml:space="preserve"> </w:t>
      </w:r>
      <w:r w:rsidR="00776638">
        <w:rPr>
          <w:lang w:val="en-ZA"/>
        </w:rPr>
        <w:t xml:space="preserve">such a statement could </w:t>
      </w:r>
      <w:proofErr w:type="gramStart"/>
      <w:r w:rsidR="00776638">
        <w:rPr>
          <w:lang w:val="en-ZA"/>
        </w:rPr>
        <w:t>be:</w:t>
      </w:r>
      <w:proofErr w:type="gramEnd"/>
      <w:r w:rsidR="00776638">
        <w:rPr>
          <w:lang w:val="en-ZA"/>
        </w:rPr>
        <w:t xml:space="preserve"> </w:t>
      </w:r>
      <w:r w:rsidR="00D70762">
        <w:rPr>
          <w:lang w:val="en-ZA"/>
        </w:rPr>
        <w:t>all</w:t>
      </w:r>
      <w:r w:rsidR="00850966">
        <w:rPr>
          <w:lang w:val="en-ZA"/>
        </w:rPr>
        <w:t xml:space="preserve"> </w:t>
      </w:r>
      <w:r w:rsidR="00D70762">
        <w:rPr>
          <w:lang w:val="en-ZA"/>
        </w:rPr>
        <w:t>facilities</w:t>
      </w:r>
      <w:r w:rsidR="00433BB6">
        <w:rPr>
          <w:lang w:val="en-ZA"/>
        </w:rPr>
        <w:t>, physical assets, and</w:t>
      </w:r>
      <w:r w:rsidR="00D70762">
        <w:rPr>
          <w:lang w:val="en-ZA"/>
        </w:rPr>
        <w:t xml:space="preserve"> technological infrastructure</w:t>
      </w:r>
      <w:r w:rsidR="00433BB6">
        <w:rPr>
          <w:lang w:val="en-ZA"/>
        </w:rPr>
        <w:t xml:space="preserve"> should be used ethically, responsibly, and only for </w:t>
      </w:r>
      <w:r w:rsidR="00776638">
        <w:rPr>
          <w:lang w:val="en-ZA"/>
        </w:rPr>
        <w:t>recognised institutional purposes</w:t>
      </w:r>
      <w:r w:rsidR="00E05206">
        <w:rPr>
          <w:lang w:val="en-ZA"/>
        </w:rPr>
        <w:t>.</w:t>
      </w:r>
      <w:r w:rsidR="002326D6">
        <w:rPr>
          <w:lang w:val="en-ZA"/>
        </w:rPr>
        <w:t xml:space="preserve"> </w:t>
      </w:r>
    </w:p>
    <w:p w14:paraId="1180F4CA" w14:textId="42D3E949" w:rsidR="00382F15" w:rsidRPr="00382F15" w:rsidRDefault="0036049A" w:rsidP="00D80C1E">
      <w:pPr>
        <w:pStyle w:val="ListParagraph"/>
        <w:numPr>
          <w:ilvl w:val="0"/>
          <w:numId w:val="39"/>
        </w:numPr>
        <w:rPr>
          <w:lang w:val="en-ZA"/>
        </w:rPr>
      </w:pPr>
      <w:r>
        <w:rPr>
          <w:lang w:val="en-ZA"/>
        </w:rPr>
        <w:t xml:space="preserve">A statement limiting the use of institutional property for personal </w:t>
      </w:r>
      <w:r w:rsidR="00E9250D">
        <w:rPr>
          <w:lang w:val="en-ZA"/>
        </w:rPr>
        <w:t>matters (not related to work)</w:t>
      </w:r>
      <w:r w:rsidR="00E05206">
        <w:rPr>
          <w:lang w:val="en-ZA"/>
        </w:rPr>
        <w:t>.</w:t>
      </w:r>
      <w:r>
        <w:rPr>
          <w:lang w:val="en-ZA"/>
        </w:rPr>
        <w:t xml:space="preserve"> </w:t>
      </w:r>
    </w:p>
    <w:p w14:paraId="5C41EFF5" w14:textId="15A57857" w:rsidR="00382F15" w:rsidRPr="00382F15" w:rsidRDefault="00F23196" w:rsidP="00D80C1E">
      <w:pPr>
        <w:pStyle w:val="ListParagraph"/>
        <w:numPr>
          <w:ilvl w:val="0"/>
          <w:numId w:val="39"/>
        </w:numPr>
        <w:rPr>
          <w:lang w:val="en-ZA"/>
        </w:rPr>
      </w:pPr>
      <w:r>
        <w:rPr>
          <w:lang w:val="en-ZA"/>
        </w:rPr>
        <w:t>Protection of institutional property by keeping it safe, not allowing unauthorised access, and regular maint</w:t>
      </w:r>
      <w:r w:rsidR="00E05206">
        <w:rPr>
          <w:lang w:val="en-ZA"/>
        </w:rPr>
        <w:t>enance.</w:t>
      </w:r>
      <w:r w:rsidR="00F44591">
        <w:rPr>
          <w:lang w:val="en-ZA"/>
        </w:rPr>
        <w:t xml:space="preserve"> </w:t>
      </w:r>
    </w:p>
    <w:p w14:paraId="689F7FCA" w14:textId="1A5ED876" w:rsidR="00382F15" w:rsidRPr="00382F15" w:rsidRDefault="00F44591" w:rsidP="00D80C1E">
      <w:pPr>
        <w:pStyle w:val="ListParagraph"/>
        <w:numPr>
          <w:ilvl w:val="0"/>
          <w:numId w:val="39"/>
        </w:numPr>
        <w:rPr>
          <w:lang w:val="en-ZA"/>
        </w:rPr>
      </w:pPr>
      <w:r>
        <w:rPr>
          <w:lang w:val="en-ZA"/>
        </w:rPr>
        <w:t>Respecting intellectual property and copyright</w:t>
      </w:r>
      <w:r w:rsidR="00E05206">
        <w:rPr>
          <w:lang w:val="en-ZA"/>
        </w:rPr>
        <w:t>.</w:t>
      </w:r>
    </w:p>
    <w:p w14:paraId="5C55FC91" w14:textId="3547F8F3" w:rsidR="00382F15" w:rsidRDefault="002C64D9" w:rsidP="00D80C1E">
      <w:pPr>
        <w:pStyle w:val="ListParagraph"/>
        <w:numPr>
          <w:ilvl w:val="0"/>
          <w:numId w:val="39"/>
        </w:numPr>
        <w:rPr>
          <w:lang w:val="en-ZA"/>
        </w:rPr>
      </w:pPr>
      <w:r>
        <w:rPr>
          <w:lang w:val="en-ZA"/>
        </w:rPr>
        <w:t>Reporting loss or damage</w:t>
      </w:r>
      <w:r w:rsidR="00E05206">
        <w:rPr>
          <w:lang w:val="en-ZA"/>
        </w:rPr>
        <w:t>.</w:t>
      </w:r>
    </w:p>
    <w:p w14:paraId="3A84001C" w14:textId="174FA900" w:rsidR="00352217" w:rsidRPr="002C64D9" w:rsidRDefault="002C64D9" w:rsidP="00D80C1E">
      <w:pPr>
        <w:pStyle w:val="ListParagraph"/>
        <w:numPr>
          <w:ilvl w:val="0"/>
          <w:numId w:val="39"/>
        </w:numPr>
        <w:rPr>
          <w:lang w:val="en-ZA"/>
        </w:rPr>
      </w:pPr>
      <w:r>
        <w:rPr>
          <w:lang w:val="en-ZA"/>
        </w:rPr>
        <w:t>Processes to follow when discarding, replacing, or returning property</w:t>
      </w:r>
      <w:r w:rsidR="00E05206">
        <w:rPr>
          <w:lang w:val="en-ZA"/>
        </w:rPr>
        <w:t>.</w:t>
      </w:r>
    </w:p>
    <w:p w14:paraId="1256C716" w14:textId="60029139" w:rsidR="00352217" w:rsidRDefault="00352217" w:rsidP="002326D6">
      <w:pPr>
        <w:pStyle w:val="Heading2"/>
        <w:numPr>
          <w:ilvl w:val="0"/>
          <w:numId w:val="0"/>
        </w:numPr>
        <w:rPr>
          <w:lang w:val="en-ZA"/>
        </w:rPr>
      </w:pPr>
      <w:r>
        <w:rPr>
          <w:lang w:val="en-ZA"/>
        </w:rPr>
        <w:t>Confidentiality</w:t>
      </w:r>
    </w:p>
    <w:p w14:paraId="67A9CA6F" w14:textId="32EB3F34" w:rsidR="00CC4998" w:rsidRDefault="007C2494" w:rsidP="00CA2738">
      <w:pPr>
        <w:rPr>
          <w:lang w:val="en-ZA"/>
        </w:rPr>
      </w:pPr>
      <w:r>
        <w:rPr>
          <w:lang w:val="en-ZA"/>
        </w:rPr>
        <w:t>Staff should be made aware</w:t>
      </w:r>
      <w:r w:rsidR="00E05206">
        <w:rPr>
          <w:lang w:val="en-ZA"/>
        </w:rPr>
        <w:t xml:space="preserve"> </w:t>
      </w:r>
      <w:r w:rsidR="004F37B2">
        <w:rPr>
          <w:lang w:val="en-ZA"/>
        </w:rPr>
        <w:t>/</w:t>
      </w:r>
      <w:r w:rsidR="00E05206">
        <w:rPr>
          <w:lang w:val="en-ZA"/>
        </w:rPr>
        <w:t xml:space="preserve"> </w:t>
      </w:r>
      <w:r w:rsidR="004F37B2">
        <w:rPr>
          <w:lang w:val="en-ZA"/>
        </w:rPr>
        <w:t>reminded</w:t>
      </w:r>
      <w:r>
        <w:rPr>
          <w:lang w:val="en-ZA"/>
        </w:rPr>
        <w:t xml:space="preserve"> of </w:t>
      </w:r>
      <w:r w:rsidR="005E49D7">
        <w:rPr>
          <w:lang w:val="en-ZA"/>
        </w:rPr>
        <w:t>any legislation on confidentiality (e.g., protection of personal information)</w:t>
      </w:r>
      <w:r w:rsidR="0075202D">
        <w:rPr>
          <w:lang w:val="en-ZA"/>
        </w:rPr>
        <w:t xml:space="preserve">, as well as </w:t>
      </w:r>
      <w:r w:rsidR="00EC6F37">
        <w:rPr>
          <w:lang w:val="en-ZA"/>
        </w:rPr>
        <w:t xml:space="preserve">contractual and </w:t>
      </w:r>
      <w:r w:rsidR="0075202D">
        <w:rPr>
          <w:lang w:val="en-ZA"/>
        </w:rPr>
        <w:t xml:space="preserve">ethical obligations of confidentiality </w:t>
      </w:r>
      <w:r w:rsidR="00EC6F37">
        <w:rPr>
          <w:lang w:val="en-ZA"/>
        </w:rPr>
        <w:t xml:space="preserve">(e.g., non-disclosure agreements, </w:t>
      </w:r>
      <w:r w:rsidR="004F37B2">
        <w:rPr>
          <w:lang w:val="en-ZA"/>
        </w:rPr>
        <w:t xml:space="preserve">research participant protection agreements, and so forth). </w:t>
      </w:r>
      <w:r w:rsidR="004C07F4">
        <w:rPr>
          <w:lang w:val="en-ZA"/>
        </w:rPr>
        <w:t xml:space="preserve">Importantly, institutions should be clear on expected confidentiality </w:t>
      </w:r>
      <w:r w:rsidR="00392A6D">
        <w:rPr>
          <w:lang w:val="en-ZA"/>
        </w:rPr>
        <w:t>of institutional data</w:t>
      </w:r>
      <w:r w:rsidR="001E7160">
        <w:rPr>
          <w:lang w:val="en-ZA"/>
        </w:rPr>
        <w:t xml:space="preserve"> and information, adherence to intellectual property</w:t>
      </w:r>
      <w:r w:rsidR="00FB3F1D">
        <w:rPr>
          <w:lang w:val="en-ZA"/>
        </w:rPr>
        <w:t xml:space="preserve"> restrictions, and the responsible use of academic freedom and speech. </w:t>
      </w:r>
    </w:p>
    <w:p w14:paraId="3B5B8786" w14:textId="27A62C40" w:rsidR="00B5184A" w:rsidRDefault="00B5184A" w:rsidP="002326D6">
      <w:pPr>
        <w:pStyle w:val="Heading2"/>
        <w:numPr>
          <w:ilvl w:val="0"/>
          <w:numId w:val="0"/>
        </w:numPr>
        <w:rPr>
          <w:lang w:val="en-ZA"/>
        </w:rPr>
      </w:pPr>
      <w:r>
        <w:rPr>
          <w:lang w:val="en-ZA"/>
        </w:rPr>
        <w:t>Academic freedom</w:t>
      </w:r>
    </w:p>
    <w:p w14:paraId="64CEF276" w14:textId="77777777" w:rsidR="00BD51E3" w:rsidRDefault="006C3192" w:rsidP="0071455B">
      <w:pPr>
        <w:rPr>
          <w:lang w:val="en-ZA"/>
        </w:rPr>
      </w:pPr>
      <w:r>
        <w:rPr>
          <w:lang w:val="en-ZA"/>
        </w:rPr>
        <w:t>Academic freedom is an important concept in higher education</w:t>
      </w:r>
      <w:r w:rsidR="00EB323C">
        <w:rPr>
          <w:lang w:val="en-ZA"/>
        </w:rPr>
        <w:t xml:space="preserve">. </w:t>
      </w:r>
      <w:r w:rsidR="00BD51E3">
        <w:rPr>
          <w:lang w:val="en-ZA"/>
        </w:rPr>
        <w:t>However, staff should be aware of the institution’s position on academic freedom, with policy statements that might include:</w:t>
      </w:r>
    </w:p>
    <w:p w14:paraId="7816CD50" w14:textId="50E7B612" w:rsidR="0071455B" w:rsidRDefault="00913B78" w:rsidP="00D80C1E">
      <w:pPr>
        <w:pStyle w:val="ListParagraph"/>
        <w:numPr>
          <w:ilvl w:val="0"/>
          <w:numId w:val="40"/>
        </w:numPr>
        <w:rPr>
          <w:lang w:val="en-ZA"/>
        </w:rPr>
      </w:pPr>
      <w:r>
        <w:rPr>
          <w:lang w:val="en-ZA"/>
        </w:rPr>
        <w:lastRenderedPageBreak/>
        <w:t>A statement affirming the institution’s commitment to academic freedom</w:t>
      </w:r>
      <w:r w:rsidR="00E05206">
        <w:rPr>
          <w:lang w:val="en-ZA"/>
        </w:rPr>
        <w:t>.</w:t>
      </w:r>
    </w:p>
    <w:p w14:paraId="2503D745" w14:textId="142F5FD6" w:rsidR="00913B78" w:rsidRDefault="00913B78" w:rsidP="00D80C1E">
      <w:pPr>
        <w:pStyle w:val="ListParagraph"/>
        <w:numPr>
          <w:ilvl w:val="0"/>
          <w:numId w:val="40"/>
        </w:numPr>
        <w:rPr>
          <w:lang w:val="en-ZA"/>
        </w:rPr>
      </w:pPr>
      <w:r>
        <w:rPr>
          <w:lang w:val="en-ZA"/>
        </w:rPr>
        <w:t xml:space="preserve">Ensuring that </w:t>
      </w:r>
      <w:r w:rsidR="007C438D">
        <w:rPr>
          <w:lang w:val="en-ZA"/>
        </w:rPr>
        <w:t xml:space="preserve">core university functions, such as learning and teaching, research, and community engagement are </w:t>
      </w:r>
      <w:r w:rsidR="003C6AA0">
        <w:rPr>
          <w:lang w:val="en-ZA"/>
        </w:rPr>
        <w:t>supported by the principle of academic freedom</w:t>
      </w:r>
      <w:r w:rsidR="00E05206">
        <w:rPr>
          <w:lang w:val="en-ZA"/>
        </w:rPr>
        <w:t>.</w:t>
      </w:r>
    </w:p>
    <w:p w14:paraId="74BF7F08" w14:textId="016ED319" w:rsidR="003C6AA0" w:rsidRDefault="000A0C96" w:rsidP="00D80C1E">
      <w:pPr>
        <w:pStyle w:val="ListParagraph"/>
        <w:numPr>
          <w:ilvl w:val="0"/>
          <w:numId w:val="40"/>
        </w:numPr>
        <w:rPr>
          <w:lang w:val="en-ZA"/>
        </w:rPr>
      </w:pPr>
      <w:r>
        <w:rPr>
          <w:lang w:val="en-ZA"/>
        </w:rPr>
        <w:t>Statements on the ethical and responsible use of academic freedom</w:t>
      </w:r>
      <w:r w:rsidR="00E05206">
        <w:rPr>
          <w:lang w:val="en-ZA"/>
        </w:rPr>
        <w:t>.</w:t>
      </w:r>
    </w:p>
    <w:p w14:paraId="21907F40" w14:textId="66FF7068" w:rsidR="000A0C96" w:rsidRDefault="000A0C96" w:rsidP="00D80C1E">
      <w:pPr>
        <w:pStyle w:val="ListParagraph"/>
        <w:numPr>
          <w:ilvl w:val="0"/>
          <w:numId w:val="40"/>
        </w:numPr>
        <w:rPr>
          <w:lang w:val="en-ZA"/>
        </w:rPr>
      </w:pPr>
      <w:r>
        <w:rPr>
          <w:lang w:val="en-ZA"/>
        </w:rPr>
        <w:t>Differentiating between personal and institutional views</w:t>
      </w:r>
      <w:r w:rsidR="00E05206">
        <w:rPr>
          <w:lang w:val="en-ZA"/>
        </w:rPr>
        <w:t>.</w:t>
      </w:r>
    </w:p>
    <w:p w14:paraId="740F045A" w14:textId="46E96667" w:rsidR="000A0C96" w:rsidRDefault="00120D1B" w:rsidP="00D80C1E">
      <w:pPr>
        <w:pStyle w:val="ListParagraph"/>
        <w:numPr>
          <w:ilvl w:val="0"/>
          <w:numId w:val="40"/>
        </w:numPr>
        <w:rPr>
          <w:lang w:val="en-ZA"/>
        </w:rPr>
      </w:pPr>
      <w:r>
        <w:rPr>
          <w:lang w:val="en-ZA"/>
        </w:rPr>
        <w:t>The extent to which the institution will protect academic freedom among staff, students and the broader university community</w:t>
      </w:r>
      <w:r w:rsidR="00E05206">
        <w:rPr>
          <w:lang w:val="en-ZA"/>
        </w:rPr>
        <w:t>.</w:t>
      </w:r>
    </w:p>
    <w:p w14:paraId="0EE343DC" w14:textId="6D6D518F" w:rsidR="00ED38D4" w:rsidRDefault="00ED38D4" w:rsidP="002326D6">
      <w:pPr>
        <w:pStyle w:val="Heading2"/>
        <w:numPr>
          <w:ilvl w:val="0"/>
          <w:numId w:val="0"/>
        </w:numPr>
        <w:rPr>
          <w:lang w:val="en-ZA"/>
        </w:rPr>
      </w:pPr>
      <w:r>
        <w:rPr>
          <w:lang w:val="en-ZA"/>
        </w:rPr>
        <w:t>Occupational health and safety</w:t>
      </w:r>
    </w:p>
    <w:p w14:paraId="2205D36E" w14:textId="158AB848" w:rsidR="00ED38D4" w:rsidRDefault="007D7498" w:rsidP="00ED38D4">
      <w:pPr>
        <w:rPr>
          <w:lang w:val="en-ZA"/>
        </w:rPr>
      </w:pPr>
      <w:r>
        <w:rPr>
          <w:lang w:val="en-ZA"/>
        </w:rPr>
        <w:t xml:space="preserve">Policy statements on occupational health and safety should </w:t>
      </w:r>
      <w:r w:rsidR="005133C3">
        <w:rPr>
          <w:lang w:val="en-ZA"/>
        </w:rPr>
        <w:t xml:space="preserve">both reflect the efforts made by the institution to create a safe working environment for staff and students, as well as listing the responsibilities of </w:t>
      </w:r>
      <w:r w:rsidR="00183123">
        <w:rPr>
          <w:lang w:val="en-ZA"/>
        </w:rPr>
        <w:t>staff to contribute to a safe working environment. Such statements may include a focus on:</w:t>
      </w:r>
    </w:p>
    <w:p w14:paraId="0DFD76FF" w14:textId="04CA308B" w:rsidR="00183123" w:rsidRDefault="00183123" w:rsidP="00D80C1E">
      <w:pPr>
        <w:pStyle w:val="ListParagraph"/>
        <w:numPr>
          <w:ilvl w:val="0"/>
          <w:numId w:val="41"/>
        </w:numPr>
        <w:rPr>
          <w:lang w:val="en-ZA"/>
        </w:rPr>
      </w:pPr>
      <w:r>
        <w:rPr>
          <w:lang w:val="en-ZA"/>
        </w:rPr>
        <w:t>The institution’s commitment to the health and safety of staff, students, and the broader university community</w:t>
      </w:r>
    </w:p>
    <w:p w14:paraId="20DBA5C5" w14:textId="45DA05F3" w:rsidR="00183123" w:rsidRDefault="00A112A0" w:rsidP="00D80C1E">
      <w:pPr>
        <w:pStyle w:val="ListParagraph"/>
        <w:numPr>
          <w:ilvl w:val="0"/>
          <w:numId w:val="41"/>
        </w:numPr>
        <w:rPr>
          <w:lang w:val="en-ZA"/>
        </w:rPr>
      </w:pPr>
      <w:r>
        <w:rPr>
          <w:lang w:val="en-ZA"/>
        </w:rPr>
        <w:t>Compliance with labour legislation on the health and safety of employees</w:t>
      </w:r>
    </w:p>
    <w:p w14:paraId="3C9AB897" w14:textId="235B8F05" w:rsidR="00A112A0" w:rsidRDefault="00A112A0" w:rsidP="00D80C1E">
      <w:pPr>
        <w:pStyle w:val="ListParagraph"/>
        <w:numPr>
          <w:ilvl w:val="0"/>
          <w:numId w:val="41"/>
        </w:numPr>
        <w:rPr>
          <w:lang w:val="en-ZA"/>
        </w:rPr>
      </w:pPr>
      <w:r>
        <w:rPr>
          <w:lang w:val="en-ZA"/>
        </w:rPr>
        <w:t xml:space="preserve">Noting the shared responsibility of health and safety between the institution and </w:t>
      </w:r>
      <w:r w:rsidR="00E05206">
        <w:rPr>
          <w:lang w:val="en-ZA"/>
        </w:rPr>
        <w:t xml:space="preserve">the </w:t>
      </w:r>
      <w:r>
        <w:rPr>
          <w:lang w:val="en-ZA"/>
        </w:rPr>
        <w:t>university community</w:t>
      </w:r>
    </w:p>
    <w:p w14:paraId="0CE34062" w14:textId="7C62E463" w:rsidR="00A112A0" w:rsidRDefault="00497545" w:rsidP="00D80C1E">
      <w:pPr>
        <w:pStyle w:val="ListParagraph"/>
        <w:numPr>
          <w:ilvl w:val="0"/>
          <w:numId w:val="41"/>
        </w:numPr>
        <w:rPr>
          <w:lang w:val="en-ZA"/>
        </w:rPr>
      </w:pPr>
      <w:r>
        <w:rPr>
          <w:lang w:val="en-ZA"/>
        </w:rPr>
        <w:t>Training and awareness opportunities</w:t>
      </w:r>
    </w:p>
    <w:p w14:paraId="61579FD0" w14:textId="486AD513" w:rsidR="00497545" w:rsidRDefault="00497545" w:rsidP="00D80C1E">
      <w:pPr>
        <w:pStyle w:val="ListParagraph"/>
        <w:numPr>
          <w:ilvl w:val="0"/>
          <w:numId w:val="41"/>
        </w:numPr>
        <w:rPr>
          <w:lang w:val="en-ZA"/>
        </w:rPr>
      </w:pPr>
      <w:r>
        <w:rPr>
          <w:lang w:val="en-ZA"/>
        </w:rPr>
        <w:t>Incident reporting and risk management</w:t>
      </w:r>
    </w:p>
    <w:p w14:paraId="7A1DC547" w14:textId="3121BD8D" w:rsidR="00497545" w:rsidRDefault="00497545" w:rsidP="00D80C1E">
      <w:pPr>
        <w:pStyle w:val="ListParagraph"/>
        <w:numPr>
          <w:ilvl w:val="0"/>
          <w:numId w:val="41"/>
        </w:numPr>
        <w:rPr>
          <w:lang w:val="en-ZA"/>
        </w:rPr>
      </w:pPr>
      <w:r>
        <w:rPr>
          <w:lang w:val="en-ZA"/>
        </w:rPr>
        <w:t>Use of personal protective equipment</w:t>
      </w:r>
      <w:r w:rsidR="008717F3">
        <w:rPr>
          <w:lang w:val="en-ZA"/>
        </w:rPr>
        <w:t xml:space="preserve"> (ranging from laboratory safety to contractors working on university property)</w:t>
      </w:r>
    </w:p>
    <w:p w14:paraId="1A59FBC3" w14:textId="107246C9" w:rsidR="008717F3" w:rsidRDefault="008717F3" w:rsidP="00D80C1E">
      <w:pPr>
        <w:pStyle w:val="ListParagraph"/>
        <w:numPr>
          <w:ilvl w:val="0"/>
          <w:numId w:val="41"/>
        </w:numPr>
        <w:rPr>
          <w:lang w:val="en-ZA"/>
        </w:rPr>
      </w:pPr>
      <w:r>
        <w:rPr>
          <w:lang w:val="en-ZA"/>
        </w:rPr>
        <w:t>Emergency preparedness and procedures</w:t>
      </w:r>
    </w:p>
    <w:p w14:paraId="5CE84031" w14:textId="27EE84F8" w:rsidR="009771E4" w:rsidRPr="00183123" w:rsidRDefault="009771E4" w:rsidP="00D80C1E">
      <w:pPr>
        <w:pStyle w:val="ListParagraph"/>
        <w:numPr>
          <w:ilvl w:val="0"/>
          <w:numId w:val="41"/>
        </w:numPr>
        <w:rPr>
          <w:lang w:val="en-ZA"/>
        </w:rPr>
      </w:pPr>
      <w:r>
        <w:rPr>
          <w:lang w:val="en-ZA"/>
        </w:rPr>
        <w:t>Responsibility of third parties</w:t>
      </w:r>
    </w:p>
    <w:p w14:paraId="3AEDCEDB" w14:textId="3EAA355B" w:rsidR="00352217" w:rsidRDefault="00E32E59" w:rsidP="002326D6">
      <w:pPr>
        <w:pStyle w:val="Heading2"/>
        <w:numPr>
          <w:ilvl w:val="0"/>
          <w:numId w:val="0"/>
        </w:numPr>
        <w:rPr>
          <w:lang w:val="en-ZA"/>
        </w:rPr>
      </w:pPr>
      <w:r>
        <w:rPr>
          <w:lang w:val="en-ZA"/>
        </w:rPr>
        <w:t>Non-compliance</w:t>
      </w:r>
    </w:p>
    <w:p w14:paraId="4BBBBD0B" w14:textId="04BE4AD7" w:rsidR="002F4EB8" w:rsidRDefault="00570412" w:rsidP="002F4EB8">
      <w:pPr>
        <w:rPr>
          <w:lang w:val="en-ZA"/>
        </w:rPr>
      </w:pPr>
      <w:r>
        <w:rPr>
          <w:lang w:val="en-ZA"/>
        </w:rPr>
        <w:t xml:space="preserve">Code of Conduct policies should be clear on </w:t>
      </w:r>
      <w:r w:rsidR="00AF27BF">
        <w:rPr>
          <w:lang w:val="en-ZA"/>
        </w:rPr>
        <w:t xml:space="preserve">the consequences of non-compliance, which may include statements on: </w:t>
      </w:r>
    </w:p>
    <w:p w14:paraId="138B65D8" w14:textId="7E826B46" w:rsidR="00AF27BF" w:rsidRDefault="00AF27BF" w:rsidP="00D80C1E">
      <w:pPr>
        <w:pStyle w:val="ListParagraph"/>
        <w:numPr>
          <w:ilvl w:val="0"/>
          <w:numId w:val="42"/>
        </w:numPr>
        <w:rPr>
          <w:lang w:val="en-ZA"/>
        </w:rPr>
      </w:pPr>
      <w:r>
        <w:rPr>
          <w:lang w:val="en-ZA"/>
        </w:rPr>
        <w:t>The obligation to comply</w:t>
      </w:r>
    </w:p>
    <w:p w14:paraId="1300A175" w14:textId="24784AC6" w:rsidR="00923D2E" w:rsidRDefault="00923D2E" w:rsidP="00D80C1E">
      <w:pPr>
        <w:pStyle w:val="ListParagraph"/>
        <w:numPr>
          <w:ilvl w:val="0"/>
          <w:numId w:val="42"/>
        </w:numPr>
        <w:rPr>
          <w:lang w:val="en-ZA"/>
        </w:rPr>
      </w:pPr>
      <w:r>
        <w:rPr>
          <w:lang w:val="en-ZA"/>
        </w:rPr>
        <w:t>Reporting obligations</w:t>
      </w:r>
    </w:p>
    <w:p w14:paraId="6FC529DE" w14:textId="51E2D407" w:rsidR="00923D2E" w:rsidRDefault="00923D2E" w:rsidP="00D80C1E">
      <w:pPr>
        <w:pStyle w:val="ListParagraph"/>
        <w:numPr>
          <w:ilvl w:val="0"/>
          <w:numId w:val="42"/>
        </w:numPr>
        <w:rPr>
          <w:lang w:val="en-ZA"/>
        </w:rPr>
      </w:pPr>
      <w:r>
        <w:rPr>
          <w:lang w:val="en-ZA"/>
        </w:rPr>
        <w:t xml:space="preserve">Disciplinary actions </w:t>
      </w:r>
      <w:r w:rsidR="00085DA5">
        <w:rPr>
          <w:lang w:val="en-ZA"/>
        </w:rPr>
        <w:t>that may follow</w:t>
      </w:r>
      <w:r w:rsidR="00E05206">
        <w:rPr>
          <w:lang w:val="en-ZA"/>
        </w:rPr>
        <w:t xml:space="preserve"> on</w:t>
      </w:r>
      <w:r w:rsidR="00085DA5">
        <w:rPr>
          <w:lang w:val="en-ZA"/>
        </w:rPr>
        <w:t xml:space="preserve"> non-compliance</w:t>
      </w:r>
    </w:p>
    <w:p w14:paraId="5FFB0ED0" w14:textId="0D5EF51C" w:rsidR="00085DA5" w:rsidRDefault="00085DA5" w:rsidP="00D80C1E">
      <w:pPr>
        <w:pStyle w:val="ListParagraph"/>
        <w:numPr>
          <w:ilvl w:val="0"/>
          <w:numId w:val="42"/>
        </w:numPr>
        <w:rPr>
          <w:lang w:val="en-ZA"/>
        </w:rPr>
      </w:pPr>
      <w:r>
        <w:rPr>
          <w:lang w:val="en-ZA"/>
        </w:rPr>
        <w:t>Appeal processes</w:t>
      </w:r>
    </w:p>
    <w:p w14:paraId="5A4E4D9A" w14:textId="59064AA4" w:rsidR="00085DA5" w:rsidRPr="00AF27BF" w:rsidRDefault="00085DA5" w:rsidP="00D80C1E">
      <w:pPr>
        <w:pStyle w:val="ListParagraph"/>
        <w:numPr>
          <w:ilvl w:val="0"/>
          <w:numId w:val="42"/>
        </w:numPr>
        <w:rPr>
          <w:lang w:val="en-ZA"/>
        </w:rPr>
      </w:pPr>
      <w:r>
        <w:rPr>
          <w:lang w:val="en-ZA"/>
        </w:rPr>
        <w:t>Corrective and remedial actions</w:t>
      </w:r>
    </w:p>
    <w:p w14:paraId="22BF25AB" w14:textId="2B27D53C" w:rsidR="002F4EB8" w:rsidRDefault="000B53A9" w:rsidP="002326D6">
      <w:pPr>
        <w:pStyle w:val="Heading2"/>
        <w:numPr>
          <w:ilvl w:val="0"/>
          <w:numId w:val="0"/>
        </w:numPr>
        <w:rPr>
          <w:lang w:val="en-ZA"/>
        </w:rPr>
      </w:pPr>
      <w:r>
        <w:rPr>
          <w:lang w:val="en-ZA"/>
        </w:rPr>
        <w:t>Policy implementation</w:t>
      </w:r>
    </w:p>
    <w:p w14:paraId="1FB069FF" w14:textId="2D93397A" w:rsidR="002F4EB8" w:rsidRPr="00AE7390" w:rsidRDefault="00AE7390" w:rsidP="002F4EB8">
      <w:pPr>
        <w:rPr>
          <w:lang w:val="en-ZA"/>
        </w:rPr>
      </w:pPr>
      <w:r w:rsidRPr="00AE7390">
        <w:rPr>
          <w:lang w:val="en-ZA"/>
        </w:rPr>
        <w:t>Parties responsible for implementation, monitoring an</w:t>
      </w:r>
      <w:r>
        <w:rPr>
          <w:lang w:val="en-ZA"/>
        </w:rPr>
        <w:t xml:space="preserve">d evaluation, and timelines for review should be noted here. </w:t>
      </w:r>
    </w:p>
    <w:p w14:paraId="1EE2121E" w14:textId="3385F948" w:rsidR="00052877" w:rsidRDefault="00052877" w:rsidP="00F546C6">
      <w:pPr>
        <w:spacing w:after="200" w:line="276" w:lineRule="auto"/>
        <w:jc w:val="left"/>
        <w:rPr>
          <w:b/>
          <w:bCs/>
          <w:lang w:val="en-ZA"/>
        </w:rPr>
      </w:pPr>
      <w:r w:rsidRPr="00AE7390">
        <w:rPr>
          <w:b/>
          <w:bCs/>
          <w:lang w:val="en-ZA"/>
        </w:rPr>
        <w:br w:type="page"/>
      </w:r>
    </w:p>
    <w:p w14:paraId="60A1F252" w14:textId="1709B6F2" w:rsidR="00B83C14" w:rsidRDefault="00B83C14" w:rsidP="00B83C14">
      <w:pPr>
        <w:pStyle w:val="Heading1"/>
      </w:pPr>
      <w:r>
        <w:lastRenderedPageBreak/>
        <w:t xml:space="preserve">Appendix </w:t>
      </w:r>
      <w:r w:rsidR="00F546C6">
        <w:t>I</w:t>
      </w:r>
      <w:r>
        <w:t>: Workforce Planning</w:t>
      </w:r>
    </w:p>
    <w:p w14:paraId="2B8E93EE" w14:textId="77777777" w:rsidR="00A23AC5" w:rsidRDefault="00A23AC5" w:rsidP="00CA2738">
      <w:pPr>
        <w:rPr>
          <w:b/>
          <w:bCs/>
          <w:lang w:val="en-ZA"/>
        </w:rPr>
      </w:pPr>
    </w:p>
    <w:p w14:paraId="351643D5" w14:textId="02044C90" w:rsidR="00A23AC5" w:rsidRDefault="00586270" w:rsidP="00CA2738">
      <w:pPr>
        <w:rPr>
          <w:lang w:val="en-ZA"/>
        </w:rPr>
      </w:pPr>
      <w:r w:rsidRPr="00586270">
        <w:rPr>
          <w:lang w:val="en-ZA"/>
        </w:rPr>
        <w:t xml:space="preserve">Workforce planning </w:t>
      </w:r>
      <w:r>
        <w:rPr>
          <w:lang w:val="en-ZA"/>
        </w:rPr>
        <w:t>typically takes place in five steps:</w:t>
      </w:r>
    </w:p>
    <w:p w14:paraId="25EF298C" w14:textId="77777777" w:rsidR="00BC64ED" w:rsidRDefault="00BC64ED" w:rsidP="00CA2738">
      <w:pPr>
        <w:rPr>
          <w:lang w:val="en-ZA"/>
        </w:rPr>
      </w:pPr>
    </w:p>
    <w:p w14:paraId="01C17847" w14:textId="05A23327" w:rsidR="00586270" w:rsidRDefault="00D128F9" w:rsidP="00D80C1E">
      <w:pPr>
        <w:pStyle w:val="ListParagraph"/>
        <w:numPr>
          <w:ilvl w:val="0"/>
          <w:numId w:val="11"/>
        </w:numPr>
        <w:rPr>
          <w:lang w:val="en-ZA"/>
        </w:rPr>
      </w:pPr>
      <w:r>
        <w:rPr>
          <w:lang w:val="en-ZA"/>
        </w:rPr>
        <w:t>Define short</w:t>
      </w:r>
      <w:r w:rsidR="00FE428F">
        <w:rPr>
          <w:lang w:val="en-ZA"/>
        </w:rPr>
        <w:t>-</w:t>
      </w:r>
      <w:r>
        <w:rPr>
          <w:lang w:val="en-ZA"/>
        </w:rPr>
        <w:t>, medium</w:t>
      </w:r>
      <w:r w:rsidR="00FE428F">
        <w:rPr>
          <w:lang w:val="en-ZA"/>
        </w:rPr>
        <w:t>-</w:t>
      </w:r>
      <w:r>
        <w:rPr>
          <w:lang w:val="en-ZA"/>
        </w:rPr>
        <w:t xml:space="preserve"> and long-term </w:t>
      </w:r>
      <w:r w:rsidR="00BC64ED">
        <w:rPr>
          <w:lang w:val="en-ZA"/>
        </w:rPr>
        <w:t xml:space="preserve">institutional </w:t>
      </w:r>
      <w:r>
        <w:rPr>
          <w:lang w:val="en-ZA"/>
        </w:rPr>
        <w:t>strategic goals</w:t>
      </w:r>
    </w:p>
    <w:p w14:paraId="695E0315" w14:textId="2B0FD103" w:rsidR="00BC64ED" w:rsidRDefault="00BC64ED" w:rsidP="00D80C1E">
      <w:pPr>
        <w:pStyle w:val="ListParagraph"/>
        <w:numPr>
          <w:ilvl w:val="0"/>
          <w:numId w:val="11"/>
        </w:numPr>
        <w:rPr>
          <w:lang w:val="en-ZA"/>
        </w:rPr>
      </w:pPr>
      <w:r>
        <w:rPr>
          <w:lang w:val="en-ZA"/>
        </w:rPr>
        <w:t xml:space="preserve">Understand </w:t>
      </w:r>
      <w:r w:rsidR="00735731">
        <w:rPr>
          <w:lang w:val="en-ZA"/>
        </w:rPr>
        <w:t xml:space="preserve">the current workforce </w:t>
      </w:r>
    </w:p>
    <w:p w14:paraId="508FD8F7" w14:textId="268EF336" w:rsidR="00735731" w:rsidRDefault="00735731" w:rsidP="00D80C1E">
      <w:pPr>
        <w:pStyle w:val="ListParagraph"/>
        <w:numPr>
          <w:ilvl w:val="0"/>
          <w:numId w:val="11"/>
        </w:numPr>
        <w:rPr>
          <w:lang w:val="en-ZA"/>
        </w:rPr>
      </w:pPr>
      <w:r>
        <w:rPr>
          <w:lang w:val="en-ZA"/>
        </w:rPr>
        <w:t>Identify gaps between current workforce and future needs</w:t>
      </w:r>
    </w:p>
    <w:p w14:paraId="27B6CE1D" w14:textId="617E9504" w:rsidR="00735731" w:rsidRDefault="00735731" w:rsidP="00D80C1E">
      <w:pPr>
        <w:pStyle w:val="ListParagraph"/>
        <w:numPr>
          <w:ilvl w:val="0"/>
          <w:numId w:val="11"/>
        </w:numPr>
        <w:rPr>
          <w:lang w:val="en-ZA"/>
        </w:rPr>
      </w:pPr>
      <w:r>
        <w:rPr>
          <w:lang w:val="en-ZA"/>
        </w:rPr>
        <w:t>Develop, communicate, and implement an appropriate action plan</w:t>
      </w:r>
    </w:p>
    <w:p w14:paraId="1CFD2A0E" w14:textId="3D0752D4" w:rsidR="00735731" w:rsidRDefault="00735731" w:rsidP="00D80C1E">
      <w:pPr>
        <w:pStyle w:val="ListParagraph"/>
        <w:numPr>
          <w:ilvl w:val="0"/>
          <w:numId w:val="11"/>
        </w:numPr>
        <w:rPr>
          <w:lang w:val="en-ZA"/>
        </w:rPr>
      </w:pPr>
      <w:r>
        <w:rPr>
          <w:lang w:val="en-ZA"/>
        </w:rPr>
        <w:t xml:space="preserve">Monitor progress, review, and adapt </w:t>
      </w:r>
      <w:r w:rsidR="00E05206">
        <w:rPr>
          <w:lang w:val="en-ZA"/>
        </w:rPr>
        <w:t xml:space="preserve">the </w:t>
      </w:r>
      <w:r w:rsidR="00E404CC">
        <w:rPr>
          <w:lang w:val="en-ZA"/>
        </w:rPr>
        <w:t>action plan as needed</w:t>
      </w:r>
    </w:p>
    <w:p w14:paraId="402C99D2" w14:textId="77777777" w:rsidR="00E404CC" w:rsidRDefault="00E404CC" w:rsidP="00E404CC">
      <w:pPr>
        <w:rPr>
          <w:lang w:val="en-ZA"/>
        </w:rPr>
      </w:pPr>
    </w:p>
    <w:p w14:paraId="47608184" w14:textId="3369A2DC" w:rsidR="00E404CC" w:rsidRDefault="00DD0C45" w:rsidP="00E404CC">
      <w:pPr>
        <w:rPr>
          <w:lang w:val="en-ZA"/>
        </w:rPr>
      </w:pPr>
      <w:r>
        <w:rPr>
          <w:lang w:val="en-ZA"/>
        </w:rPr>
        <w:t xml:space="preserve">Key actions within each </w:t>
      </w:r>
      <w:r w:rsidR="00E404CC">
        <w:rPr>
          <w:lang w:val="en-ZA"/>
        </w:rPr>
        <w:t xml:space="preserve">of these steps are </w:t>
      </w:r>
      <w:r>
        <w:rPr>
          <w:lang w:val="en-ZA"/>
        </w:rPr>
        <w:t>expanded on below:</w:t>
      </w:r>
    </w:p>
    <w:p w14:paraId="039BA842" w14:textId="0B4C4556" w:rsidR="00DD0C45" w:rsidRPr="00E404CC" w:rsidRDefault="00DC32C7" w:rsidP="002326D6">
      <w:pPr>
        <w:pStyle w:val="Heading2"/>
        <w:numPr>
          <w:ilvl w:val="0"/>
          <w:numId w:val="0"/>
        </w:numPr>
      </w:pPr>
      <w:r>
        <w:t xml:space="preserve">Step 1: </w:t>
      </w:r>
      <w:r w:rsidRPr="00DC32C7">
        <w:t>Define short</w:t>
      </w:r>
      <w:r w:rsidR="00FE428F">
        <w:t>-</w:t>
      </w:r>
      <w:r w:rsidRPr="00DC32C7">
        <w:t>, medium</w:t>
      </w:r>
      <w:r w:rsidR="00FE428F">
        <w:t>-</w:t>
      </w:r>
      <w:r w:rsidRPr="00DC32C7">
        <w:t xml:space="preserve"> and long-term institutional strategic goals</w:t>
      </w:r>
    </w:p>
    <w:p w14:paraId="3EE9B559" w14:textId="504BCFE0" w:rsidR="00BB25A8" w:rsidRDefault="00D21E7C" w:rsidP="00CA2738">
      <w:pPr>
        <w:rPr>
          <w:lang w:val="en-ZA"/>
        </w:rPr>
      </w:pPr>
      <w:r w:rsidRPr="00A53C73">
        <w:rPr>
          <w:lang w:val="en-ZA"/>
        </w:rPr>
        <w:t>I</w:t>
      </w:r>
      <w:r w:rsidR="00E41DFD" w:rsidRPr="00A53C73">
        <w:rPr>
          <w:lang w:val="en-ZA"/>
        </w:rPr>
        <w:t xml:space="preserve">nstitutions typically have clear </w:t>
      </w:r>
      <w:r w:rsidRPr="00A53C73">
        <w:rPr>
          <w:lang w:val="en-ZA"/>
        </w:rPr>
        <w:t>vision and mission statements, along with</w:t>
      </w:r>
      <w:r w:rsidR="00AB431A">
        <w:rPr>
          <w:lang w:val="en-ZA"/>
        </w:rPr>
        <w:t xml:space="preserve"> annual,</w:t>
      </w:r>
      <w:r w:rsidR="00C81695">
        <w:rPr>
          <w:lang w:val="en-ZA"/>
        </w:rPr>
        <w:t xml:space="preserve"> five-year, or</w:t>
      </w:r>
      <w:r w:rsidR="002326D6">
        <w:rPr>
          <w:lang w:val="en-ZA"/>
        </w:rPr>
        <w:t xml:space="preserve"> </w:t>
      </w:r>
      <w:r w:rsidR="00A53C73">
        <w:rPr>
          <w:lang w:val="en-ZA"/>
        </w:rPr>
        <w:t>ten</w:t>
      </w:r>
      <w:r w:rsidRPr="00A53C73">
        <w:rPr>
          <w:lang w:val="en-ZA"/>
        </w:rPr>
        <w:t>-year</w:t>
      </w:r>
      <w:r w:rsidR="00C81695">
        <w:rPr>
          <w:lang w:val="en-ZA"/>
        </w:rPr>
        <w:t xml:space="preserve"> </w:t>
      </w:r>
      <w:r w:rsidRPr="00A53C73">
        <w:rPr>
          <w:lang w:val="en-ZA"/>
        </w:rPr>
        <w:t xml:space="preserve">strategic plans. </w:t>
      </w:r>
      <w:r w:rsidR="00A53C73">
        <w:rPr>
          <w:lang w:val="en-ZA"/>
        </w:rPr>
        <w:t xml:space="preserve">However, </w:t>
      </w:r>
      <w:r w:rsidR="00065ADF">
        <w:rPr>
          <w:lang w:val="en-ZA"/>
        </w:rPr>
        <w:t xml:space="preserve">public higher education </w:t>
      </w:r>
      <w:r w:rsidR="00A53C73">
        <w:rPr>
          <w:lang w:val="en-ZA"/>
        </w:rPr>
        <w:t xml:space="preserve">institutions are also </w:t>
      </w:r>
      <w:r w:rsidR="0063691C">
        <w:rPr>
          <w:lang w:val="en-ZA"/>
        </w:rPr>
        <w:t xml:space="preserve">largely </w:t>
      </w:r>
      <w:r w:rsidR="00065ADF">
        <w:rPr>
          <w:lang w:val="en-ZA"/>
        </w:rPr>
        <w:t xml:space="preserve">dependent on </w:t>
      </w:r>
      <w:r w:rsidR="0063691C">
        <w:rPr>
          <w:lang w:val="en-ZA"/>
        </w:rPr>
        <w:t xml:space="preserve">state funding and influenced by national and international </w:t>
      </w:r>
      <w:r w:rsidR="003961D8">
        <w:rPr>
          <w:lang w:val="en-ZA"/>
        </w:rPr>
        <w:t>shifts in e</w:t>
      </w:r>
      <w:r w:rsidR="0063691C">
        <w:rPr>
          <w:lang w:val="en-ZA"/>
        </w:rPr>
        <w:t>conom</w:t>
      </w:r>
      <w:r w:rsidR="003961D8">
        <w:rPr>
          <w:lang w:val="en-ZA"/>
        </w:rPr>
        <w:t xml:space="preserve">ies, </w:t>
      </w:r>
      <w:r w:rsidR="003038A6">
        <w:rPr>
          <w:lang w:val="en-ZA"/>
        </w:rPr>
        <w:t xml:space="preserve">labour requirements, and other priorities that shape </w:t>
      </w:r>
      <w:r w:rsidR="00E05206">
        <w:rPr>
          <w:lang w:val="en-ZA"/>
        </w:rPr>
        <w:t xml:space="preserve">the focus of </w:t>
      </w:r>
      <w:r w:rsidR="003038A6">
        <w:rPr>
          <w:lang w:val="en-ZA"/>
        </w:rPr>
        <w:t>higher education</w:t>
      </w:r>
      <w:r w:rsidR="003961D8">
        <w:rPr>
          <w:lang w:val="en-ZA"/>
        </w:rPr>
        <w:t xml:space="preserve">. </w:t>
      </w:r>
    </w:p>
    <w:p w14:paraId="4A63E8E2" w14:textId="77777777" w:rsidR="003D3D95" w:rsidRDefault="003D3D95" w:rsidP="00CA2738">
      <w:pPr>
        <w:rPr>
          <w:lang w:val="en-ZA"/>
        </w:rPr>
      </w:pPr>
    </w:p>
    <w:p w14:paraId="2B0169C3" w14:textId="15E70938" w:rsidR="003D3D95" w:rsidRDefault="00585253" w:rsidP="00CA2738">
      <w:pPr>
        <w:rPr>
          <w:lang w:val="en-ZA"/>
        </w:rPr>
      </w:pPr>
      <w:r>
        <w:rPr>
          <w:lang w:val="en-ZA"/>
        </w:rPr>
        <w:t xml:space="preserve">A series of </w:t>
      </w:r>
      <w:r w:rsidR="00F4215E">
        <w:rPr>
          <w:lang w:val="en-ZA"/>
        </w:rPr>
        <w:t>workshops</w:t>
      </w:r>
      <w:r w:rsidR="00D51934">
        <w:rPr>
          <w:lang w:val="en-ZA"/>
        </w:rPr>
        <w:t>/sessions</w:t>
      </w:r>
      <w:r w:rsidR="00F4215E">
        <w:rPr>
          <w:lang w:val="en-ZA"/>
        </w:rPr>
        <w:t xml:space="preserve"> with representatives from HR, strategic planning, </w:t>
      </w:r>
      <w:r w:rsidR="006D47F3">
        <w:rPr>
          <w:lang w:val="en-ZA"/>
        </w:rPr>
        <w:t xml:space="preserve">top management, </w:t>
      </w:r>
      <w:r w:rsidR="00F4215E">
        <w:rPr>
          <w:lang w:val="en-ZA"/>
        </w:rPr>
        <w:t xml:space="preserve">faculty representatives, and </w:t>
      </w:r>
      <w:r w:rsidR="006D47F3">
        <w:rPr>
          <w:lang w:val="en-ZA"/>
        </w:rPr>
        <w:t xml:space="preserve">the </w:t>
      </w:r>
      <w:r w:rsidR="00F4215E">
        <w:rPr>
          <w:lang w:val="en-ZA"/>
        </w:rPr>
        <w:t>finance department</w:t>
      </w:r>
      <w:r w:rsidR="00D51934">
        <w:rPr>
          <w:lang w:val="en-ZA"/>
        </w:rPr>
        <w:t xml:space="preserve"> </w:t>
      </w:r>
      <w:r w:rsidR="00AB2A8C">
        <w:rPr>
          <w:lang w:val="en-ZA"/>
        </w:rPr>
        <w:t xml:space="preserve">could be a useful approach to </w:t>
      </w:r>
      <w:r w:rsidR="00122625">
        <w:rPr>
          <w:lang w:val="en-ZA"/>
        </w:rPr>
        <w:t xml:space="preserve">clarify strategic priorities and list potential HR requirements </w:t>
      </w:r>
      <w:r w:rsidR="00FE428F">
        <w:rPr>
          <w:lang w:val="en-ZA"/>
        </w:rPr>
        <w:t>to</w:t>
      </w:r>
      <w:r w:rsidR="00122625">
        <w:rPr>
          <w:lang w:val="en-ZA"/>
        </w:rPr>
        <w:t xml:space="preserve"> support </w:t>
      </w:r>
      <w:r w:rsidR="00E1613D">
        <w:rPr>
          <w:lang w:val="en-ZA"/>
        </w:rPr>
        <w:t xml:space="preserve">such priorities. </w:t>
      </w:r>
      <w:r w:rsidR="00BB5A07">
        <w:rPr>
          <w:lang w:val="en-ZA"/>
        </w:rPr>
        <w:t xml:space="preserve">The table below provides an outline of </w:t>
      </w:r>
      <w:r w:rsidR="000247AF">
        <w:rPr>
          <w:lang w:val="en-ZA"/>
        </w:rPr>
        <w:t xml:space="preserve">what to include in these sessions, and what some of the key questions might be to guide discussions. </w:t>
      </w:r>
    </w:p>
    <w:p w14:paraId="6754C2A4" w14:textId="77777777" w:rsidR="00C82357" w:rsidRDefault="00C82357" w:rsidP="00CA2738">
      <w:pPr>
        <w:rPr>
          <w:lang w:val="en-ZA"/>
        </w:rPr>
      </w:pPr>
    </w:p>
    <w:tbl>
      <w:tblPr>
        <w:tblStyle w:val="TableGrid"/>
        <w:tblW w:w="9067" w:type="dxa"/>
        <w:tblLook w:val="04A0" w:firstRow="1" w:lastRow="0" w:firstColumn="1" w:lastColumn="0" w:noHBand="0" w:noVBand="1"/>
      </w:tblPr>
      <w:tblGrid>
        <w:gridCol w:w="2266"/>
        <w:gridCol w:w="2267"/>
        <w:gridCol w:w="2267"/>
        <w:gridCol w:w="2267"/>
      </w:tblGrid>
      <w:tr w:rsidR="007560E4" w:rsidRPr="007560E4" w14:paraId="01A0904B" w14:textId="77777777" w:rsidTr="007560E4">
        <w:tc>
          <w:tcPr>
            <w:tcW w:w="2266" w:type="dxa"/>
          </w:tcPr>
          <w:p w14:paraId="6FAB4376" w14:textId="6080BA30" w:rsidR="007560E4" w:rsidRPr="007560E4" w:rsidRDefault="007560E4" w:rsidP="007560E4">
            <w:pPr>
              <w:jc w:val="left"/>
              <w:rPr>
                <w:b/>
                <w:bCs/>
                <w:lang w:val="en-ZA"/>
              </w:rPr>
            </w:pPr>
            <w:r w:rsidRPr="007560E4">
              <w:rPr>
                <w:b/>
                <w:bCs/>
                <w:lang w:val="en-ZA"/>
              </w:rPr>
              <w:t xml:space="preserve">External trends </w:t>
            </w:r>
          </w:p>
        </w:tc>
        <w:tc>
          <w:tcPr>
            <w:tcW w:w="2267" w:type="dxa"/>
          </w:tcPr>
          <w:p w14:paraId="18480087" w14:textId="41E420DF" w:rsidR="007560E4" w:rsidRPr="007560E4" w:rsidRDefault="007560E4" w:rsidP="007560E4">
            <w:pPr>
              <w:jc w:val="left"/>
              <w:rPr>
                <w:b/>
                <w:bCs/>
                <w:lang w:val="en-ZA"/>
              </w:rPr>
            </w:pPr>
            <w:r w:rsidRPr="007560E4">
              <w:rPr>
                <w:b/>
                <w:bCs/>
                <w:lang w:val="en-ZA"/>
              </w:rPr>
              <w:t>Strategic institutional goals</w:t>
            </w:r>
          </w:p>
        </w:tc>
        <w:tc>
          <w:tcPr>
            <w:tcW w:w="2267" w:type="dxa"/>
          </w:tcPr>
          <w:p w14:paraId="1D48FBDC" w14:textId="290CC9B5" w:rsidR="007560E4" w:rsidRPr="007560E4" w:rsidRDefault="007560E4" w:rsidP="007560E4">
            <w:pPr>
              <w:jc w:val="left"/>
              <w:rPr>
                <w:b/>
                <w:bCs/>
                <w:lang w:val="en-ZA"/>
              </w:rPr>
            </w:pPr>
            <w:r w:rsidRPr="007560E4">
              <w:rPr>
                <w:b/>
                <w:bCs/>
                <w:lang w:val="en-ZA"/>
              </w:rPr>
              <w:t>Key priorities</w:t>
            </w:r>
          </w:p>
        </w:tc>
        <w:tc>
          <w:tcPr>
            <w:tcW w:w="2267" w:type="dxa"/>
          </w:tcPr>
          <w:p w14:paraId="13F2DEF9" w14:textId="2A520E2D" w:rsidR="007560E4" w:rsidRPr="007560E4" w:rsidRDefault="007560E4" w:rsidP="007560E4">
            <w:pPr>
              <w:jc w:val="left"/>
              <w:rPr>
                <w:b/>
                <w:bCs/>
                <w:lang w:val="en-ZA"/>
              </w:rPr>
            </w:pPr>
            <w:r w:rsidRPr="007560E4">
              <w:rPr>
                <w:b/>
                <w:bCs/>
                <w:lang w:val="en-ZA"/>
              </w:rPr>
              <w:t>Timeframe</w:t>
            </w:r>
          </w:p>
        </w:tc>
      </w:tr>
      <w:tr w:rsidR="007560E4" w14:paraId="690A3C4F" w14:textId="77777777" w:rsidTr="007560E4">
        <w:tc>
          <w:tcPr>
            <w:tcW w:w="2266" w:type="dxa"/>
          </w:tcPr>
          <w:p w14:paraId="07CC4BF7" w14:textId="6B835565" w:rsidR="007560E4" w:rsidRDefault="001C72B3" w:rsidP="007560E4">
            <w:pPr>
              <w:jc w:val="left"/>
              <w:rPr>
                <w:lang w:val="en-ZA"/>
              </w:rPr>
            </w:pPr>
            <w:r>
              <w:rPr>
                <w:lang w:val="en-ZA"/>
              </w:rPr>
              <w:t xml:space="preserve">What are the international and national considerations influencing strategic directions (e.g., climate change, </w:t>
            </w:r>
            <w:r w:rsidR="00EE78B4">
              <w:rPr>
                <w:lang w:val="en-ZA"/>
              </w:rPr>
              <w:t xml:space="preserve">AI, demographic changes, university funding, </w:t>
            </w:r>
            <w:r w:rsidR="00164DD3">
              <w:rPr>
                <w:lang w:val="en-ZA"/>
              </w:rPr>
              <w:t xml:space="preserve">regional and </w:t>
            </w:r>
            <w:r w:rsidR="00EE78B4">
              <w:rPr>
                <w:lang w:val="en-ZA"/>
              </w:rPr>
              <w:t>national priorities, etc.)</w:t>
            </w:r>
            <w:r w:rsidR="0080318B">
              <w:rPr>
                <w:lang w:val="en-ZA"/>
              </w:rPr>
              <w:t>?</w:t>
            </w:r>
          </w:p>
        </w:tc>
        <w:tc>
          <w:tcPr>
            <w:tcW w:w="2267" w:type="dxa"/>
          </w:tcPr>
          <w:p w14:paraId="438AF77B" w14:textId="16C315BC" w:rsidR="007560E4" w:rsidRDefault="00164DD3" w:rsidP="007560E4">
            <w:pPr>
              <w:jc w:val="left"/>
              <w:rPr>
                <w:lang w:val="en-ZA"/>
              </w:rPr>
            </w:pPr>
            <w:r>
              <w:rPr>
                <w:lang w:val="en-ZA"/>
              </w:rPr>
              <w:t>What are the short-, medium-, and long-term strategic goals of the institution?</w:t>
            </w:r>
          </w:p>
        </w:tc>
        <w:tc>
          <w:tcPr>
            <w:tcW w:w="2267" w:type="dxa"/>
          </w:tcPr>
          <w:p w14:paraId="45450A3B" w14:textId="2D41109E" w:rsidR="007560E4" w:rsidRDefault="00164DD3" w:rsidP="007560E4">
            <w:pPr>
              <w:jc w:val="left"/>
              <w:rPr>
                <w:lang w:val="en-ZA"/>
              </w:rPr>
            </w:pPr>
            <w:r>
              <w:rPr>
                <w:lang w:val="en-ZA"/>
              </w:rPr>
              <w:t xml:space="preserve">What are the key </w:t>
            </w:r>
            <w:r w:rsidR="0080318B">
              <w:rPr>
                <w:lang w:val="en-ZA"/>
              </w:rPr>
              <w:t>priorities</w:t>
            </w:r>
            <w:r w:rsidR="00D02A41">
              <w:rPr>
                <w:lang w:val="en-ZA"/>
              </w:rPr>
              <w:t xml:space="preserve"> (often stated as visions)</w:t>
            </w:r>
            <w:r w:rsidR="0080318B">
              <w:rPr>
                <w:lang w:val="en-ZA"/>
              </w:rPr>
              <w:t xml:space="preserve"> that should be </w:t>
            </w:r>
            <w:proofErr w:type="gramStart"/>
            <w:r w:rsidR="0080318B">
              <w:rPr>
                <w:lang w:val="en-ZA"/>
              </w:rPr>
              <w:t>taken into account</w:t>
            </w:r>
            <w:proofErr w:type="gramEnd"/>
            <w:r w:rsidR="0080318B">
              <w:rPr>
                <w:lang w:val="en-ZA"/>
              </w:rPr>
              <w:t xml:space="preserve"> (e.g., </w:t>
            </w:r>
            <w:r w:rsidR="008E1FDD">
              <w:rPr>
                <w:lang w:val="en-ZA"/>
              </w:rPr>
              <w:t xml:space="preserve">losing capacity through </w:t>
            </w:r>
            <w:r w:rsidR="00EF678C">
              <w:rPr>
                <w:lang w:val="en-ZA"/>
              </w:rPr>
              <w:t xml:space="preserve">mass </w:t>
            </w:r>
            <w:r w:rsidR="008E1FDD">
              <w:rPr>
                <w:lang w:val="en-ZA"/>
              </w:rPr>
              <w:t>retirement or to the private sector</w:t>
            </w:r>
            <w:r w:rsidR="00FE428F">
              <w:rPr>
                <w:lang w:val="en-ZA"/>
              </w:rPr>
              <w:t>;</w:t>
            </w:r>
            <w:r w:rsidR="008E1FDD">
              <w:rPr>
                <w:lang w:val="en-ZA"/>
              </w:rPr>
              <w:t xml:space="preserve"> </w:t>
            </w:r>
            <w:r w:rsidR="00EF678C">
              <w:rPr>
                <w:lang w:val="en-ZA"/>
              </w:rPr>
              <w:t>wanting to create pockets of research excellence</w:t>
            </w:r>
            <w:r w:rsidR="00FE428F">
              <w:rPr>
                <w:lang w:val="en-ZA"/>
              </w:rPr>
              <w:t>;</w:t>
            </w:r>
            <w:r w:rsidR="00D24CAD">
              <w:rPr>
                <w:lang w:val="en-ZA"/>
              </w:rPr>
              <w:t xml:space="preserve"> </w:t>
            </w:r>
            <w:r w:rsidR="00B24EE6">
              <w:rPr>
                <w:lang w:val="en-ZA"/>
              </w:rPr>
              <w:t>wanting to strengthen open and distance learning opportunities, etc.)?</w:t>
            </w:r>
          </w:p>
        </w:tc>
        <w:tc>
          <w:tcPr>
            <w:tcW w:w="2267" w:type="dxa"/>
          </w:tcPr>
          <w:p w14:paraId="04A641D1" w14:textId="4040DA1F" w:rsidR="007560E4" w:rsidRDefault="0042184D" w:rsidP="007560E4">
            <w:pPr>
              <w:jc w:val="left"/>
              <w:rPr>
                <w:lang w:val="en-ZA"/>
              </w:rPr>
            </w:pPr>
            <w:r>
              <w:rPr>
                <w:lang w:val="en-ZA"/>
              </w:rPr>
              <w:t>When are these trends, goals, and priorities expected to take place and how does that influence the institution’s planning</w:t>
            </w:r>
            <w:r w:rsidR="00BB5A07">
              <w:rPr>
                <w:lang w:val="en-ZA"/>
              </w:rPr>
              <w:t>?</w:t>
            </w:r>
          </w:p>
        </w:tc>
      </w:tr>
      <w:tr w:rsidR="007560E4" w14:paraId="5EFA2C0A" w14:textId="77777777" w:rsidTr="007560E4">
        <w:tc>
          <w:tcPr>
            <w:tcW w:w="2266" w:type="dxa"/>
          </w:tcPr>
          <w:p w14:paraId="7201D861" w14:textId="77777777" w:rsidR="007560E4" w:rsidRDefault="007560E4" w:rsidP="007560E4">
            <w:pPr>
              <w:jc w:val="left"/>
              <w:rPr>
                <w:lang w:val="en-ZA"/>
              </w:rPr>
            </w:pPr>
          </w:p>
        </w:tc>
        <w:tc>
          <w:tcPr>
            <w:tcW w:w="2267" w:type="dxa"/>
          </w:tcPr>
          <w:p w14:paraId="4BD707CF" w14:textId="77777777" w:rsidR="007560E4" w:rsidRDefault="007560E4" w:rsidP="007560E4">
            <w:pPr>
              <w:jc w:val="left"/>
              <w:rPr>
                <w:lang w:val="en-ZA"/>
              </w:rPr>
            </w:pPr>
          </w:p>
        </w:tc>
        <w:tc>
          <w:tcPr>
            <w:tcW w:w="2267" w:type="dxa"/>
          </w:tcPr>
          <w:p w14:paraId="135372BC" w14:textId="77777777" w:rsidR="007560E4" w:rsidRDefault="007560E4" w:rsidP="007560E4">
            <w:pPr>
              <w:jc w:val="left"/>
              <w:rPr>
                <w:lang w:val="en-ZA"/>
              </w:rPr>
            </w:pPr>
          </w:p>
        </w:tc>
        <w:tc>
          <w:tcPr>
            <w:tcW w:w="2267" w:type="dxa"/>
          </w:tcPr>
          <w:p w14:paraId="0365444F" w14:textId="77777777" w:rsidR="007560E4" w:rsidRDefault="007560E4" w:rsidP="007560E4">
            <w:pPr>
              <w:jc w:val="left"/>
              <w:rPr>
                <w:lang w:val="en-ZA"/>
              </w:rPr>
            </w:pPr>
          </w:p>
        </w:tc>
      </w:tr>
    </w:tbl>
    <w:p w14:paraId="73EECBE4" w14:textId="77777777" w:rsidR="00AA2E37" w:rsidRDefault="00AA2E37" w:rsidP="002326D6">
      <w:pPr>
        <w:pStyle w:val="Heading2"/>
        <w:numPr>
          <w:ilvl w:val="0"/>
          <w:numId w:val="0"/>
        </w:numPr>
      </w:pPr>
      <w:r>
        <w:lastRenderedPageBreak/>
        <w:t xml:space="preserve">Step 2: </w:t>
      </w:r>
      <w:r w:rsidRPr="00BB25A8">
        <w:t>Understand the current workforce</w:t>
      </w:r>
    </w:p>
    <w:p w14:paraId="0D1311E4" w14:textId="155CCD36" w:rsidR="003D3D95" w:rsidRDefault="00AA2E37" w:rsidP="00CA2738">
      <w:r>
        <w:t>The second step is to understand the current workforce</w:t>
      </w:r>
      <w:r w:rsidR="00E3366A">
        <w:t xml:space="preserve"> by a</w:t>
      </w:r>
      <w:r w:rsidR="00E3366A" w:rsidRPr="00E3366A">
        <w:t>ssess</w:t>
      </w:r>
      <w:r w:rsidR="00E3366A">
        <w:t>ing</w:t>
      </w:r>
      <w:r w:rsidR="00E3366A" w:rsidRPr="00E3366A">
        <w:t xml:space="preserve"> the current composition, capacity, and capabilities of the workforce at a macro level.</w:t>
      </w:r>
      <w:r>
        <w:t xml:space="preserve"> </w:t>
      </w:r>
      <w:r w:rsidR="00C16CD0">
        <w:t xml:space="preserve">A well-functioning performance management system, built on a </w:t>
      </w:r>
      <w:r w:rsidR="00684D41">
        <w:t xml:space="preserve">comprehensive </w:t>
      </w:r>
      <w:r w:rsidR="00C16CD0">
        <w:t>competency framework</w:t>
      </w:r>
      <w:r w:rsidR="00684D41">
        <w:t xml:space="preserve">, will make this process much easier as the </w:t>
      </w:r>
      <w:r w:rsidR="00E821C7">
        <w:t xml:space="preserve">alignment of staff members’ performance </w:t>
      </w:r>
      <w:r w:rsidR="00950F92">
        <w:t xml:space="preserve">with institutional priorities is already captured and can </w:t>
      </w:r>
      <w:r w:rsidR="00FE428F">
        <w:t xml:space="preserve">merely </w:t>
      </w:r>
      <w:r w:rsidR="00950F92">
        <w:t xml:space="preserve">be analysed. However, </w:t>
      </w:r>
      <w:r w:rsidR="006E76E8">
        <w:t xml:space="preserve">it is likely that performance systems are either not in place or </w:t>
      </w:r>
      <w:r w:rsidR="00FE428F">
        <w:t xml:space="preserve">are </w:t>
      </w:r>
      <w:r w:rsidR="006E76E8">
        <w:t xml:space="preserve">not implemented as </w:t>
      </w:r>
      <w:r w:rsidR="00FE428F">
        <w:t>they</w:t>
      </w:r>
      <w:r w:rsidR="006E76E8">
        <w:t xml:space="preserve"> should be. Therefore, </w:t>
      </w:r>
      <w:r w:rsidR="001868A9">
        <w:t>alternative approach</w:t>
      </w:r>
      <w:r w:rsidR="000849F2">
        <w:t>es</w:t>
      </w:r>
      <w:r w:rsidR="00120DE3">
        <w:t xml:space="preserve"> </w:t>
      </w:r>
      <w:r w:rsidR="000849F2">
        <w:t>are</w:t>
      </w:r>
      <w:r w:rsidR="001868A9">
        <w:t xml:space="preserve"> recommended</w:t>
      </w:r>
      <w:r w:rsidR="000849F2">
        <w:t>.</w:t>
      </w:r>
    </w:p>
    <w:p w14:paraId="67A6EE82" w14:textId="77777777" w:rsidR="00066671" w:rsidRDefault="00066671" w:rsidP="00CA2738"/>
    <w:p w14:paraId="7E6BC534" w14:textId="31BDDFA9" w:rsidR="00066671" w:rsidRDefault="00066671" w:rsidP="00066671">
      <w:r>
        <w:t xml:space="preserve">To </w:t>
      </w:r>
      <w:r w:rsidR="00120DE3">
        <w:t>assess workforce</w:t>
      </w:r>
      <w:r>
        <w:t xml:space="preserve"> capacity, </w:t>
      </w:r>
      <w:r w:rsidR="00E03F1F">
        <w:t xml:space="preserve">institutions should have </w:t>
      </w:r>
      <w:r w:rsidR="007A5F83">
        <w:t xml:space="preserve">comprehensive </w:t>
      </w:r>
      <w:r w:rsidR="00E03F1F">
        <w:t>data on staff</w:t>
      </w:r>
      <w:r w:rsidR="00944106">
        <w:t>, including</w:t>
      </w:r>
      <w:r w:rsidR="00E03F1F">
        <w:t xml:space="preserve"> </w:t>
      </w:r>
      <w:r>
        <w:t xml:space="preserve">headcount, </w:t>
      </w:r>
      <w:r w:rsidR="00F1468A">
        <w:t xml:space="preserve">contract type, </w:t>
      </w:r>
      <w:r>
        <w:t xml:space="preserve">retention, </w:t>
      </w:r>
      <w:r w:rsidR="00944106">
        <w:t>salary bands</w:t>
      </w:r>
      <w:r>
        <w:t>, vacancies, upcoming retirements</w:t>
      </w:r>
      <w:r w:rsidR="007A5F83">
        <w:t xml:space="preserve">, and so forth. A next layer of </w:t>
      </w:r>
      <w:r w:rsidR="00FE428F">
        <w:t xml:space="preserve">needed </w:t>
      </w:r>
      <w:r w:rsidR="007D3380">
        <w:t>staff data will be an analysis of skills and competencies, critical roles</w:t>
      </w:r>
      <w:r w:rsidR="002C3F08">
        <w:t xml:space="preserve">, and assessments of performance, productivity, and development potential. </w:t>
      </w:r>
    </w:p>
    <w:p w14:paraId="67515532" w14:textId="77777777" w:rsidR="00A83AEA" w:rsidRDefault="00A83AEA" w:rsidP="00066671"/>
    <w:p w14:paraId="0E11D689" w14:textId="4F33F58A" w:rsidR="00A83AEA" w:rsidRDefault="007D0DEF" w:rsidP="00066671">
      <w:r>
        <w:t xml:space="preserve">If the institution does not have </w:t>
      </w:r>
      <w:r w:rsidR="00AA16EC">
        <w:t xml:space="preserve">these datasets available, the </w:t>
      </w:r>
      <w:r w:rsidR="00A83AEA">
        <w:t xml:space="preserve">process can be made more manageable by providing departments with </w:t>
      </w:r>
      <w:r w:rsidR="007E7D9B">
        <w:t>a spreadsheet to complete</w:t>
      </w:r>
      <w:r>
        <w:t xml:space="preserve">, then collating information within the HR department. </w:t>
      </w:r>
    </w:p>
    <w:p w14:paraId="007C1148" w14:textId="77777777" w:rsidR="00D508B2" w:rsidRDefault="00D508B2" w:rsidP="00066671"/>
    <w:p w14:paraId="759E0E7F" w14:textId="5DE63222" w:rsidR="00B83C14" w:rsidRPr="00AA16EC" w:rsidRDefault="00D508B2" w:rsidP="00CA2738">
      <w:r>
        <w:t xml:space="preserve">To support the assessment of workforce capacity, supplementary data, such as current and projected student numbers, </w:t>
      </w:r>
      <w:r w:rsidR="00C07FE5">
        <w:t xml:space="preserve">courses, fees, etc. should also be considered. </w:t>
      </w:r>
    </w:p>
    <w:p w14:paraId="3996E27C" w14:textId="379E0AC2" w:rsidR="00BB25A8" w:rsidRDefault="00BB25A8" w:rsidP="002326D6">
      <w:pPr>
        <w:pStyle w:val="Heading2"/>
        <w:numPr>
          <w:ilvl w:val="0"/>
          <w:numId w:val="0"/>
        </w:numPr>
      </w:pPr>
      <w:r>
        <w:t xml:space="preserve">Step 3: </w:t>
      </w:r>
      <w:r w:rsidRPr="00BB25A8">
        <w:t>Identify gaps between current workforce and future needs</w:t>
      </w:r>
    </w:p>
    <w:p w14:paraId="4364DF4D" w14:textId="78862FF0" w:rsidR="00E6228B" w:rsidRPr="00AA16EC" w:rsidRDefault="006C6CF6" w:rsidP="00BB25A8">
      <w:r>
        <w:t xml:space="preserve">During this step, the workforce planning committee will </w:t>
      </w:r>
      <w:r w:rsidR="00356781">
        <w:t xml:space="preserve">analyse estimated workforce needs from the strategic mapping and compare it with the current </w:t>
      </w:r>
      <w:r w:rsidR="00F54FFE">
        <w:t>workforce capacity to identify mismatches and gaps</w:t>
      </w:r>
      <w:r w:rsidR="006B433A">
        <w:t xml:space="preserve"> (in skills, </w:t>
      </w:r>
      <w:r w:rsidR="00497B25">
        <w:t xml:space="preserve">expertise, </w:t>
      </w:r>
      <w:r w:rsidR="006B433A">
        <w:t>leadership, equity appointments, or other key areas)</w:t>
      </w:r>
      <w:r w:rsidR="00F54FFE">
        <w:t xml:space="preserve">. </w:t>
      </w:r>
      <w:r w:rsidR="00F901A9">
        <w:t xml:space="preserve">Importantly, the estimated workforce needs should </w:t>
      </w:r>
      <w:proofErr w:type="gramStart"/>
      <w:r w:rsidR="00F901A9">
        <w:t>take into account</w:t>
      </w:r>
      <w:proofErr w:type="gramEnd"/>
      <w:r w:rsidR="00F901A9">
        <w:t xml:space="preserve"> increasing competition </w:t>
      </w:r>
      <w:r w:rsidR="00C708D3">
        <w:t xml:space="preserve">for expertise, </w:t>
      </w:r>
      <w:r w:rsidR="00E55AF5">
        <w:t xml:space="preserve">new and evolving positions, </w:t>
      </w:r>
      <w:r w:rsidR="00871517">
        <w:t>anticipated demands for skills</w:t>
      </w:r>
      <w:r w:rsidR="00FE428F">
        <w:t>,</w:t>
      </w:r>
      <w:r w:rsidR="00871517">
        <w:t xml:space="preserve"> competencies and needs driven by </w:t>
      </w:r>
      <w:r w:rsidR="00C27ADC">
        <w:t xml:space="preserve">changes in approaches to </w:t>
      </w:r>
      <w:r w:rsidR="00FE428F">
        <w:t xml:space="preserve">education provision </w:t>
      </w:r>
      <w:r w:rsidR="00C27ADC">
        <w:t xml:space="preserve">(e.g., </w:t>
      </w:r>
      <w:r w:rsidR="00746E98">
        <w:t>needing expertise in online pedagogy, technical infrastructure expertise, and so forth).</w:t>
      </w:r>
      <w:r w:rsidR="002326D6">
        <w:t xml:space="preserve"> </w:t>
      </w:r>
      <w:r w:rsidR="00E6228B">
        <w:t xml:space="preserve">This step should result in a clear </w:t>
      </w:r>
      <w:r w:rsidR="001E2E7A">
        <w:t xml:space="preserve">statement of human resource needs that can be reviewed by </w:t>
      </w:r>
      <w:r w:rsidR="00066E5D">
        <w:t xml:space="preserve">top management, the finances department, and other relevant stakeholders. </w:t>
      </w:r>
    </w:p>
    <w:p w14:paraId="62725755" w14:textId="2DC2A3B1" w:rsidR="00BB25A8" w:rsidRDefault="00BB25A8" w:rsidP="002326D6">
      <w:pPr>
        <w:pStyle w:val="Heading2"/>
        <w:numPr>
          <w:ilvl w:val="0"/>
          <w:numId w:val="0"/>
        </w:numPr>
      </w:pPr>
      <w:r>
        <w:t>Step 4:</w:t>
      </w:r>
      <w:r w:rsidR="002326D6">
        <w:t xml:space="preserve"> </w:t>
      </w:r>
      <w:r w:rsidRPr="00BB25A8">
        <w:t>Develop, communicate, and implement an appropriate action plan</w:t>
      </w:r>
    </w:p>
    <w:p w14:paraId="627C2631" w14:textId="725C7D23" w:rsidR="00BB25A8" w:rsidRDefault="00FA2E52" w:rsidP="00BB25A8">
      <w:r>
        <w:t xml:space="preserve">A clear action plan should be developed to guide institutional role players towards closing </w:t>
      </w:r>
      <w:r w:rsidR="005005DC" w:rsidRPr="005005DC">
        <w:t>workforce gaps and build</w:t>
      </w:r>
      <w:r>
        <w:t>ing</w:t>
      </w:r>
      <w:r w:rsidR="005005DC" w:rsidRPr="005005DC">
        <w:t xml:space="preserve"> future cap</w:t>
      </w:r>
      <w:r>
        <w:t>acity</w:t>
      </w:r>
      <w:r w:rsidR="005005DC" w:rsidRPr="005005DC">
        <w:t>.</w:t>
      </w:r>
      <w:r>
        <w:t xml:space="preserve"> </w:t>
      </w:r>
      <w:r w:rsidR="00D360E4">
        <w:t>The action plan should include plans for:</w:t>
      </w:r>
    </w:p>
    <w:p w14:paraId="7BF173DB" w14:textId="26323776" w:rsidR="00D360E4" w:rsidRDefault="00D360E4" w:rsidP="00D80C1E">
      <w:pPr>
        <w:pStyle w:val="ListParagraph"/>
        <w:numPr>
          <w:ilvl w:val="0"/>
          <w:numId w:val="43"/>
        </w:numPr>
      </w:pPr>
      <w:r>
        <w:t>Talent acquisition</w:t>
      </w:r>
      <w:r w:rsidR="00E01EED">
        <w:t xml:space="preserve">. Clear strategies </w:t>
      </w:r>
      <w:r w:rsidR="00901BED">
        <w:t xml:space="preserve">about </w:t>
      </w:r>
      <w:r w:rsidR="00E01EED">
        <w:t xml:space="preserve">how the required </w:t>
      </w:r>
      <w:r w:rsidR="001B3BF3">
        <w:t>human capacity will be acquired by the institution. T</w:t>
      </w:r>
      <w:r w:rsidR="00336A97">
        <w:t xml:space="preserve">his might include </w:t>
      </w:r>
      <w:r w:rsidR="00602026">
        <w:t xml:space="preserve">strategies such as head-hunting, ensuring market-competitive </w:t>
      </w:r>
      <w:r w:rsidR="00C80C2D">
        <w:t xml:space="preserve">salaries and benefits, </w:t>
      </w:r>
      <w:r w:rsidR="00A47EC8">
        <w:t xml:space="preserve">and implementing candidate-centric </w:t>
      </w:r>
      <w:r w:rsidR="0071653E">
        <w:t xml:space="preserve">processes to identify, appoint, and onboard staff. </w:t>
      </w:r>
    </w:p>
    <w:p w14:paraId="0977BFB0" w14:textId="339E9DDB" w:rsidR="0071653E" w:rsidRDefault="00A665C4" w:rsidP="00D80C1E">
      <w:pPr>
        <w:pStyle w:val="ListParagraph"/>
        <w:numPr>
          <w:ilvl w:val="0"/>
          <w:numId w:val="43"/>
        </w:numPr>
      </w:pPr>
      <w:r>
        <w:t xml:space="preserve">Talent development and succession planning. </w:t>
      </w:r>
      <w:r w:rsidR="006A5572">
        <w:t xml:space="preserve">Drawing on the current workforce analysis, </w:t>
      </w:r>
      <w:r w:rsidR="0073193E">
        <w:t>identify staff who can be positioned to take up leadership or other key roles</w:t>
      </w:r>
      <w:r w:rsidR="00062B85">
        <w:t xml:space="preserve"> through investing in their development. The plan should also include additional, concrete strategies to </w:t>
      </w:r>
      <w:r w:rsidR="00F86D72">
        <w:t>implement sustainable succession planning.</w:t>
      </w:r>
    </w:p>
    <w:p w14:paraId="692C0DBD" w14:textId="72C21394" w:rsidR="00062B85" w:rsidRDefault="00FE428F" w:rsidP="00D80C1E">
      <w:pPr>
        <w:pStyle w:val="ListParagraph"/>
        <w:numPr>
          <w:ilvl w:val="0"/>
          <w:numId w:val="43"/>
        </w:numPr>
      </w:pPr>
      <w:r>
        <w:lastRenderedPageBreak/>
        <w:t>W</w:t>
      </w:r>
      <w:r w:rsidR="00F86D72">
        <w:t>orkforce flexibility</w:t>
      </w:r>
      <w:r>
        <w:t>,</w:t>
      </w:r>
      <w:r w:rsidR="00E01EED">
        <w:t xml:space="preserve"> by providing guidelines for hybrid work. </w:t>
      </w:r>
    </w:p>
    <w:p w14:paraId="1D48B0CE" w14:textId="7572D75C" w:rsidR="00BB25A8" w:rsidRDefault="00BB25A8" w:rsidP="00663676">
      <w:pPr>
        <w:pStyle w:val="Heading2"/>
        <w:numPr>
          <w:ilvl w:val="0"/>
          <w:numId w:val="0"/>
        </w:numPr>
      </w:pPr>
      <w:r>
        <w:t xml:space="preserve">Step 5: </w:t>
      </w:r>
      <w:r w:rsidRPr="00BB25A8">
        <w:t xml:space="preserve">Monitor progress, review, and adapt </w:t>
      </w:r>
      <w:r w:rsidR="00FE428F">
        <w:t xml:space="preserve">the </w:t>
      </w:r>
      <w:r w:rsidRPr="00BB25A8">
        <w:t>action plan as needed</w:t>
      </w:r>
    </w:p>
    <w:p w14:paraId="464BE81F" w14:textId="11DAD61C" w:rsidR="00BB25A8" w:rsidRPr="001B3BF3" w:rsidRDefault="00A0080F" w:rsidP="00BB25A8">
      <w:r>
        <w:t xml:space="preserve">The action plan should have </w:t>
      </w:r>
      <w:r w:rsidR="00446D5D">
        <w:t xml:space="preserve">a clear monitoring and evaluation framework that allows for </w:t>
      </w:r>
      <w:r w:rsidR="00FE428F">
        <w:t xml:space="preserve">its </w:t>
      </w:r>
      <w:r w:rsidR="00446D5D">
        <w:t xml:space="preserve">regular review </w:t>
      </w:r>
      <w:r w:rsidR="00FE428F">
        <w:t xml:space="preserve">in </w:t>
      </w:r>
      <w:r w:rsidR="00446D5D">
        <w:t>align</w:t>
      </w:r>
      <w:r w:rsidR="00FE428F">
        <w:t>ment</w:t>
      </w:r>
      <w:r w:rsidR="00446D5D">
        <w:t xml:space="preserve"> with changing strategic priorities.</w:t>
      </w:r>
    </w:p>
    <w:p w14:paraId="7D19F56B" w14:textId="5C8BA809" w:rsidR="00B83C14" w:rsidRDefault="00B83C14" w:rsidP="004931E4">
      <w:pPr>
        <w:spacing w:after="200" w:line="276" w:lineRule="auto"/>
        <w:jc w:val="left"/>
        <w:rPr>
          <w:b/>
          <w:bCs/>
          <w:lang w:val="en-ZA"/>
        </w:rPr>
      </w:pPr>
    </w:p>
    <w:sectPr w:rsidR="00B83C14" w:rsidSect="008C51F9">
      <w:footerReference w:type="even" r:id="rId64"/>
      <w:footerReference w:type="default" r:id="rId65"/>
      <w:footerReference w:type="first" r:id="rId6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3CCF8" w14:textId="77777777" w:rsidR="00312662" w:rsidRDefault="00312662" w:rsidP="007D74D9">
      <w:r>
        <w:separator/>
      </w:r>
    </w:p>
  </w:endnote>
  <w:endnote w:type="continuationSeparator" w:id="0">
    <w:p w14:paraId="46C7CB85" w14:textId="77777777" w:rsidR="00312662" w:rsidRDefault="00312662" w:rsidP="007D74D9">
      <w:r>
        <w:continuationSeparator/>
      </w:r>
    </w:p>
  </w:endnote>
  <w:endnote w:type="continuationNotice" w:id="1">
    <w:p w14:paraId="59F077A7" w14:textId="77777777" w:rsidR="00312662" w:rsidRDefault="00312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278063"/>
      <w:docPartObj>
        <w:docPartGallery w:val="Page Numbers (Bottom of Page)"/>
        <w:docPartUnique/>
      </w:docPartObj>
    </w:sdtPr>
    <w:sdtEndPr>
      <w:rPr>
        <w:noProof/>
      </w:rPr>
    </w:sdtEndPr>
    <w:sdtContent>
      <w:p w14:paraId="5A7151CB" w14:textId="77777777" w:rsidR="00952E54" w:rsidRDefault="00952E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5BD14E" w14:textId="77777777" w:rsidR="00952E54" w:rsidRDefault="00952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075221"/>
      <w:docPartObj>
        <w:docPartGallery w:val="Page Numbers (Bottom of Page)"/>
        <w:docPartUnique/>
      </w:docPartObj>
    </w:sdtPr>
    <w:sdtEndPr>
      <w:rPr>
        <w:noProof/>
      </w:rPr>
    </w:sdtEndPr>
    <w:sdtContent>
      <w:p w14:paraId="3B49A67B" w14:textId="561C090E" w:rsidR="003354FB" w:rsidRDefault="003354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5C19D2" w14:textId="2128F4F2" w:rsidR="002D51FB" w:rsidRPr="00952E54" w:rsidRDefault="002D51FB" w:rsidP="00952E5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5311075"/>
      <w:docPartObj>
        <w:docPartGallery w:val="Page Numbers (Bottom of Page)"/>
        <w:docPartUnique/>
      </w:docPartObj>
    </w:sdtPr>
    <w:sdtEndPr>
      <w:rPr>
        <w:noProof/>
        <w:color w:val="1F497D" w:themeColor="text2"/>
      </w:rPr>
    </w:sdtEndPr>
    <w:sdtContent>
      <w:p w14:paraId="0968C785" w14:textId="0235D2F2" w:rsidR="009535ED" w:rsidRPr="009535ED" w:rsidRDefault="009535ED">
        <w:pPr>
          <w:pStyle w:val="Footer"/>
          <w:jc w:val="right"/>
          <w:rPr>
            <w:color w:val="1F497D" w:themeColor="text2"/>
          </w:rPr>
        </w:pPr>
        <w:r w:rsidRPr="009535ED">
          <w:rPr>
            <w:color w:val="1F497D" w:themeColor="text2"/>
          </w:rPr>
          <w:fldChar w:fldCharType="begin"/>
        </w:r>
        <w:r w:rsidRPr="009535ED">
          <w:rPr>
            <w:color w:val="1F497D" w:themeColor="text2"/>
          </w:rPr>
          <w:instrText xml:space="preserve"> PAGE   \* MERGEFORMAT </w:instrText>
        </w:r>
        <w:r w:rsidRPr="009535ED">
          <w:rPr>
            <w:color w:val="1F497D" w:themeColor="text2"/>
          </w:rPr>
          <w:fldChar w:fldCharType="separate"/>
        </w:r>
        <w:r w:rsidRPr="009535ED">
          <w:rPr>
            <w:noProof/>
            <w:color w:val="1F497D" w:themeColor="text2"/>
          </w:rPr>
          <w:t>2</w:t>
        </w:r>
        <w:r w:rsidRPr="009535ED">
          <w:rPr>
            <w:noProof/>
            <w:color w:val="1F497D" w:themeColor="text2"/>
          </w:rPr>
          <w:fldChar w:fldCharType="end"/>
        </w:r>
      </w:p>
    </w:sdtContent>
  </w:sdt>
  <w:p w14:paraId="63646272" w14:textId="77777777" w:rsidR="002D51FB" w:rsidRPr="00133530" w:rsidRDefault="002D51FB" w:rsidP="007D74D9">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8E2F3" w14:textId="77777777" w:rsidR="00312662" w:rsidRDefault="00312662" w:rsidP="007D74D9">
      <w:r>
        <w:separator/>
      </w:r>
    </w:p>
  </w:footnote>
  <w:footnote w:type="continuationSeparator" w:id="0">
    <w:p w14:paraId="416FB1A8" w14:textId="77777777" w:rsidR="00312662" w:rsidRDefault="00312662" w:rsidP="007D74D9">
      <w:r>
        <w:continuationSeparator/>
      </w:r>
    </w:p>
  </w:footnote>
  <w:footnote w:type="continuationNotice" w:id="1">
    <w:p w14:paraId="01B769E5" w14:textId="77777777" w:rsidR="00312662" w:rsidRDefault="00312662"/>
  </w:footnote>
  <w:footnote w:id="2">
    <w:p w14:paraId="180220DE" w14:textId="5D875086" w:rsidR="00F86326" w:rsidRPr="00F86326" w:rsidRDefault="00F86326">
      <w:pPr>
        <w:pStyle w:val="FootnoteText"/>
        <w:rPr>
          <w:lang w:val="en-US"/>
        </w:rPr>
      </w:pPr>
      <w:r>
        <w:rPr>
          <w:rStyle w:val="FootnoteReference"/>
        </w:rPr>
        <w:footnoteRef/>
      </w:r>
      <w:r>
        <w:t xml:space="preserve"> </w:t>
      </w:r>
      <w:r w:rsidR="00C245F9">
        <w:rPr>
          <w:lang w:val="en-US"/>
        </w:rPr>
        <w:t xml:space="preserve">See </w:t>
      </w:r>
      <w:hyperlink r:id="rId1" w:history="1">
        <w:r w:rsidR="00C245F9" w:rsidRPr="00B33811">
          <w:rPr>
            <w:rStyle w:val="Hyperlink"/>
            <w:lang w:val="en-US"/>
          </w:rPr>
          <w:t>https://www.oerafrica.org/continuous-professional-development-frameworks</w:t>
        </w:r>
      </w:hyperlink>
      <w:r w:rsidR="00C245F9">
        <w:rPr>
          <w:lang w:val="en-US"/>
        </w:rPr>
        <w:t xml:space="preserve"> </w:t>
      </w:r>
    </w:p>
  </w:footnote>
  <w:footnote w:id="3">
    <w:p w14:paraId="1ED4A13D" w14:textId="2A68A8E1" w:rsidR="006B06A4" w:rsidRPr="006B06A4" w:rsidRDefault="006B06A4">
      <w:pPr>
        <w:pStyle w:val="FootnoteText"/>
        <w:rPr>
          <w:lang w:val="en-ZA"/>
        </w:rPr>
      </w:pPr>
      <w:r>
        <w:rPr>
          <w:rStyle w:val="FootnoteReference"/>
        </w:rPr>
        <w:footnoteRef/>
      </w:r>
      <w:r>
        <w:t xml:space="preserve"> </w:t>
      </w:r>
      <w:hyperlink r:id="rId2" w:history="1">
        <w:r w:rsidRPr="00C245F9">
          <w:rPr>
            <w:rStyle w:val="Hyperlink"/>
            <w:lang w:val="en-ZA"/>
          </w:rPr>
          <w:t>https://biblio.ugent.be/publication/7003407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4FBE"/>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 w15:restartNumberingAfterBreak="0">
    <w:nsid w:val="04030617"/>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A8E10DA"/>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 w15:restartNumberingAfterBreak="0">
    <w:nsid w:val="0B015442"/>
    <w:multiLevelType w:val="multilevel"/>
    <w:tmpl w:val="6E1212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C070D"/>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5" w15:restartNumberingAfterBreak="0">
    <w:nsid w:val="0BAC781B"/>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 w15:restartNumberingAfterBreak="0">
    <w:nsid w:val="0DB20B42"/>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11023064"/>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179E3149"/>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1AA55814"/>
    <w:multiLevelType w:val="multilevel"/>
    <w:tmpl w:val="73BEB6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403C6"/>
    <w:multiLevelType w:val="hybridMultilevel"/>
    <w:tmpl w:val="D0EC6D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6ED0D8A"/>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279A0BF3"/>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27D26246"/>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2F6A2631"/>
    <w:multiLevelType w:val="hybridMultilevel"/>
    <w:tmpl w:val="9DDEB4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0DD5682"/>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328C60B8"/>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32DD73CB"/>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36911C66"/>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9" w15:restartNumberingAfterBreak="0">
    <w:nsid w:val="394E1E29"/>
    <w:multiLevelType w:val="multilevel"/>
    <w:tmpl w:val="E8BE6BB0"/>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pStyle w:val="Heading4"/>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3F8F0254"/>
    <w:multiLevelType w:val="multilevel"/>
    <w:tmpl w:val="0E44833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8A77DF"/>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517553A"/>
    <w:multiLevelType w:val="multilevel"/>
    <w:tmpl w:val="AFF01BB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616EC2"/>
    <w:multiLevelType w:val="hybridMultilevel"/>
    <w:tmpl w:val="0FDCBC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6155DEF"/>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4C592B71"/>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B53A0"/>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8" w15:restartNumberingAfterBreak="0">
    <w:nsid w:val="50E76CB1"/>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9" w15:restartNumberingAfterBreak="0">
    <w:nsid w:val="58F45BAD"/>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0" w15:restartNumberingAfterBreak="0">
    <w:nsid w:val="5B86795A"/>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0F27BAC"/>
    <w:multiLevelType w:val="hybridMultilevel"/>
    <w:tmpl w:val="F712038E"/>
    <w:lvl w:ilvl="0" w:tplc="115AE6D8">
      <w:start w:val="1"/>
      <w:numFmt w:val="decimal"/>
      <w:pStyle w:val="FigureReference"/>
      <w:lvlText w:val="Figure %1"/>
      <w:lvlJc w:val="left"/>
      <w:pPr>
        <w:ind w:left="907" w:hanging="9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3E72B2"/>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4" w15:restartNumberingAfterBreak="0">
    <w:nsid w:val="679640E1"/>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5" w15:restartNumberingAfterBreak="0">
    <w:nsid w:val="6A311AB6"/>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6" w15:restartNumberingAfterBreak="0">
    <w:nsid w:val="6CA12502"/>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7" w15:restartNumberingAfterBreak="0">
    <w:nsid w:val="6CC473F8"/>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8" w15:restartNumberingAfterBreak="0">
    <w:nsid w:val="6E2300BE"/>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9" w15:restartNumberingAfterBreak="0">
    <w:nsid w:val="6F1246C7"/>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0" w15:restartNumberingAfterBreak="0">
    <w:nsid w:val="78D846AC"/>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1" w15:restartNumberingAfterBreak="0">
    <w:nsid w:val="7E932213"/>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2" w15:restartNumberingAfterBreak="0">
    <w:nsid w:val="7FD4343D"/>
    <w:multiLevelType w:val="hybridMultilevel"/>
    <w:tmpl w:val="AF4C90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676952306">
    <w:abstractNumId w:val="26"/>
  </w:num>
  <w:num w:numId="2" w16cid:durableId="1840845789">
    <w:abstractNumId w:val="31"/>
  </w:num>
  <w:num w:numId="3" w16cid:durableId="1546260682">
    <w:abstractNumId w:val="32"/>
  </w:num>
  <w:num w:numId="4" w16cid:durableId="1850824414">
    <w:abstractNumId w:val="9"/>
  </w:num>
  <w:num w:numId="5" w16cid:durableId="2114323675">
    <w:abstractNumId w:val="3"/>
  </w:num>
  <w:num w:numId="6" w16cid:durableId="936672749">
    <w:abstractNumId w:val="14"/>
  </w:num>
  <w:num w:numId="7" w16cid:durableId="1096052391">
    <w:abstractNumId w:val="19"/>
  </w:num>
  <w:num w:numId="8" w16cid:durableId="1066222913">
    <w:abstractNumId w:val="22"/>
  </w:num>
  <w:num w:numId="9" w16cid:durableId="175341306">
    <w:abstractNumId w:val="10"/>
  </w:num>
  <w:num w:numId="10" w16cid:durableId="1179270074">
    <w:abstractNumId w:val="42"/>
  </w:num>
  <w:num w:numId="11" w16cid:durableId="2119905132">
    <w:abstractNumId w:val="23"/>
  </w:num>
  <w:num w:numId="12" w16cid:durableId="1432624237">
    <w:abstractNumId w:val="20"/>
  </w:num>
  <w:num w:numId="13" w16cid:durableId="545138606">
    <w:abstractNumId w:val="34"/>
  </w:num>
  <w:num w:numId="14" w16cid:durableId="453523834">
    <w:abstractNumId w:val="17"/>
  </w:num>
  <w:num w:numId="15" w16cid:durableId="2048795291">
    <w:abstractNumId w:val="21"/>
  </w:num>
  <w:num w:numId="16" w16cid:durableId="29496633">
    <w:abstractNumId w:val="30"/>
  </w:num>
  <w:num w:numId="17" w16cid:durableId="273366315">
    <w:abstractNumId w:val="33"/>
  </w:num>
  <w:num w:numId="18" w16cid:durableId="1284921665">
    <w:abstractNumId w:val="27"/>
  </w:num>
  <w:num w:numId="19" w16cid:durableId="1041711242">
    <w:abstractNumId w:val="15"/>
  </w:num>
  <w:num w:numId="20" w16cid:durableId="768282409">
    <w:abstractNumId w:val="29"/>
  </w:num>
  <w:num w:numId="21" w16cid:durableId="683939880">
    <w:abstractNumId w:val="37"/>
  </w:num>
  <w:num w:numId="22" w16cid:durableId="798885193">
    <w:abstractNumId w:val="39"/>
  </w:num>
  <w:num w:numId="23" w16cid:durableId="1978409749">
    <w:abstractNumId w:val="6"/>
  </w:num>
  <w:num w:numId="24" w16cid:durableId="253973927">
    <w:abstractNumId w:val="11"/>
  </w:num>
  <w:num w:numId="25" w16cid:durableId="165021091">
    <w:abstractNumId w:val="36"/>
  </w:num>
  <w:num w:numId="26" w16cid:durableId="2134252582">
    <w:abstractNumId w:val="1"/>
  </w:num>
  <w:num w:numId="27" w16cid:durableId="1168250193">
    <w:abstractNumId w:val="35"/>
  </w:num>
  <w:num w:numId="28" w16cid:durableId="52393751">
    <w:abstractNumId w:val="5"/>
  </w:num>
  <w:num w:numId="29" w16cid:durableId="2175777">
    <w:abstractNumId w:val="12"/>
  </w:num>
  <w:num w:numId="30" w16cid:durableId="513082141">
    <w:abstractNumId w:val="7"/>
  </w:num>
  <w:num w:numId="31" w16cid:durableId="314186755">
    <w:abstractNumId w:val="25"/>
  </w:num>
  <w:num w:numId="32" w16cid:durableId="10885708">
    <w:abstractNumId w:val="40"/>
  </w:num>
  <w:num w:numId="33" w16cid:durableId="1803038783">
    <w:abstractNumId w:val="8"/>
  </w:num>
  <w:num w:numId="34" w16cid:durableId="1005091850">
    <w:abstractNumId w:val="38"/>
  </w:num>
  <w:num w:numId="35" w16cid:durableId="165443189">
    <w:abstractNumId w:val="18"/>
  </w:num>
  <w:num w:numId="36" w16cid:durableId="242766317">
    <w:abstractNumId w:val="24"/>
  </w:num>
  <w:num w:numId="37" w16cid:durableId="2084446678">
    <w:abstractNumId w:val="28"/>
  </w:num>
  <w:num w:numId="38" w16cid:durableId="1414469193">
    <w:abstractNumId w:val="13"/>
  </w:num>
  <w:num w:numId="39" w16cid:durableId="559436588">
    <w:abstractNumId w:val="41"/>
  </w:num>
  <w:num w:numId="40" w16cid:durableId="1715765156">
    <w:abstractNumId w:val="4"/>
  </w:num>
  <w:num w:numId="41" w16cid:durableId="516844575">
    <w:abstractNumId w:val="16"/>
  </w:num>
  <w:num w:numId="42" w16cid:durableId="454523231">
    <w:abstractNumId w:val="2"/>
  </w:num>
  <w:num w:numId="43" w16cid:durableId="1650131327">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27"/>
    <w:rsid w:val="0000144F"/>
    <w:rsid w:val="00001516"/>
    <w:rsid w:val="00002978"/>
    <w:rsid w:val="00002EFC"/>
    <w:rsid w:val="00003571"/>
    <w:rsid w:val="00004AAF"/>
    <w:rsid w:val="00004E3F"/>
    <w:rsid w:val="00010B22"/>
    <w:rsid w:val="00011783"/>
    <w:rsid w:val="00011E6A"/>
    <w:rsid w:val="0001301D"/>
    <w:rsid w:val="00013F8D"/>
    <w:rsid w:val="000143B8"/>
    <w:rsid w:val="0001495C"/>
    <w:rsid w:val="00015053"/>
    <w:rsid w:val="00015FEB"/>
    <w:rsid w:val="00016865"/>
    <w:rsid w:val="000205FB"/>
    <w:rsid w:val="00021296"/>
    <w:rsid w:val="0002278D"/>
    <w:rsid w:val="00022B9F"/>
    <w:rsid w:val="00022C93"/>
    <w:rsid w:val="00023BCE"/>
    <w:rsid w:val="000247AF"/>
    <w:rsid w:val="0002528C"/>
    <w:rsid w:val="000257AE"/>
    <w:rsid w:val="0002646B"/>
    <w:rsid w:val="0002699F"/>
    <w:rsid w:val="00026B3D"/>
    <w:rsid w:val="000276A4"/>
    <w:rsid w:val="00030876"/>
    <w:rsid w:val="0003119A"/>
    <w:rsid w:val="00031EDD"/>
    <w:rsid w:val="00032189"/>
    <w:rsid w:val="00033B58"/>
    <w:rsid w:val="00035C64"/>
    <w:rsid w:val="00036ED0"/>
    <w:rsid w:val="00037DD7"/>
    <w:rsid w:val="000404DE"/>
    <w:rsid w:val="00040635"/>
    <w:rsid w:val="00041238"/>
    <w:rsid w:val="00041C61"/>
    <w:rsid w:val="000429C9"/>
    <w:rsid w:val="000437BD"/>
    <w:rsid w:val="00043A2F"/>
    <w:rsid w:val="00043CD5"/>
    <w:rsid w:val="00044BC8"/>
    <w:rsid w:val="00045D04"/>
    <w:rsid w:val="000474DB"/>
    <w:rsid w:val="00050C90"/>
    <w:rsid w:val="00051D11"/>
    <w:rsid w:val="00051D50"/>
    <w:rsid w:val="00052877"/>
    <w:rsid w:val="00052C83"/>
    <w:rsid w:val="00052D74"/>
    <w:rsid w:val="000533B7"/>
    <w:rsid w:val="0005423F"/>
    <w:rsid w:val="000542B5"/>
    <w:rsid w:val="0005441D"/>
    <w:rsid w:val="000544C9"/>
    <w:rsid w:val="00055924"/>
    <w:rsid w:val="00055AAE"/>
    <w:rsid w:val="00056A86"/>
    <w:rsid w:val="00060271"/>
    <w:rsid w:val="00060368"/>
    <w:rsid w:val="00061B38"/>
    <w:rsid w:val="0006227B"/>
    <w:rsid w:val="00062B85"/>
    <w:rsid w:val="00064720"/>
    <w:rsid w:val="00064A9E"/>
    <w:rsid w:val="00064B1F"/>
    <w:rsid w:val="00065ADF"/>
    <w:rsid w:val="00065AF7"/>
    <w:rsid w:val="00065D2E"/>
    <w:rsid w:val="00065F77"/>
    <w:rsid w:val="00066671"/>
    <w:rsid w:val="00066E5D"/>
    <w:rsid w:val="00070461"/>
    <w:rsid w:val="00070C81"/>
    <w:rsid w:val="00070E8D"/>
    <w:rsid w:val="00071DA7"/>
    <w:rsid w:val="00072D3F"/>
    <w:rsid w:val="00072F0B"/>
    <w:rsid w:val="00073208"/>
    <w:rsid w:val="00074949"/>
    <w:rsid w:val="00075DFD"/>
    <w:rsid w:val="0007746C"/>
    <w:rsid w:val="00077ED9"/>
    <w:rsid w:val="000817CA"/>
    <w:rsid w:val="00082C97"/>
    <w:rsid w:val="0008357E"/>
    <w:rsid w:val="00083B02"/>
    <w:rsid w:val="00083E71"/>
    <w:rsid w:val="0008463A"/>
    <w:rsid w:val="000849F2"/>
    <w:rsid w:val="00084BD9"/>
    <w:rsid w:val="0008517D"/>
    <w:rsid w:val="00085DA5"/>
    <w:rsid w:val="000864DA"/>
    <w:rsid w:val="0009016B"/>
    <w:rsid w:val="0009077B"/>
    <w:rsid w:val="00090C04"/>
    <w:rsid w:val="00092477"/>
    <w:rsid w:val="00092B3D"/>
    <w:rsid w:val="00094110"/>
    <w:rsid w:val="000952ED"/>
    <w:rsid w:val="0009587D"/>
    <w:rsid w:val="00095F8C"/>
    <w:rsid w:val="000970CF"/>
    <w:rsid w:val="000973D8"/>
    <w:rsid w:val="000A03C4"/>
    <w:rsid w:val="000A0C96"/>
    <w:rsid w:val="000A1CB9"/>
    <w:rsid w:val="000A2107"/>
    <w:rsid w:val="000A2417"/>
    <w:rsid w:val="000A2E02"/>
    <w:rsid w:val="000A4563"/>
    <w:rsid w:val="000A4F96"/>
    <w:rsid w:val="000A4FAF"/>
    <w:rsid w:val="000A6C57"/>
    <w:rsid w:val="000B00A5"/>
    <w:rsid w:val="000B08A4"/>
    <w:rsid w:val="000B0DD6"/>
    <w:rsid w:val="000B0FC7"/>
    <w:rsid w:val="000B19DC"/>
    <w:rsid w:val="000B2280"/>
    <w:rsid w:val="000B47D1"/>
    <w:rsid w:val="000B53A9"/>
    <w:rsid w:val="000B53B0"/>
    <w:rsid w:val="000B5B6E"/>
    <w:rsid w:val="000B634D"/>
    <w:rsid w:val="000B69F0"/>
    <w:rsid w:val="000B6DBB"/>
    <w:rsid w:val="000B7159"/>
    <w:rsid w:val="000B78B2"/>
    <w:rsid w:val="000B7E75"/>
    <w:rsid w:val="000C013E"/>
    <w:rsid w:val="000C43E5"/>
    <w:rsid w:val="000C45DB"/>
    <w:rsid w:val="000C4B1F"/>
    <w:rsid w:val="000C5C28"/>
    <w:rsid w:val="000C643F"/>
    <w:rsid w:val="000C7905"/>
    <w:rsid w:val="000D1C16"/>
    <w:rsid w:val="000D30CB"/>
    <w:rsid w:val="000D3346"/>
    <w:rsid w:val="000D39F2"/>
    <w:rsid w:val="000D3E18"/>
    <w:rsid w:val="000D48B2"/>
    <w:rsid w:val="000D4A1F"/>
    <w:rsid w:val="000D4BE0"/>
    <w:rsid w:val="000D5DD5"/>
    <w:rsid w:val="000E023B"/>
    <w:rsid w:val="000E2E04"/>
    <w:rsid w:val="000E46C2"/>
    <w:rsid w:val="000E5143"/>
    <w:rsid w:val="000E53CE"/>
    <w:rsid w:val="000E5A37"/>
    <w:rsid w:val="000E5AB1"/>
    <w:rsid w:val="000E5B60"/>
    <w:rsid w:val="000E669A"/>
    <w:rsid w:val="000E6BAA"/>
    <w:rsid w:val="000E756A"/>
    <w:rsid w:val="000E7870"/>
    <w:rsid w:val="000E7B53"/>
    <w:rsid w:val="000E7DC3"/>
    <w:rsid w:val="000F0941"/>
    <w:rsid w:val="000F0B55"/>
    <w:rsid w:val="000F133F"/>
    <w:rsid w:val="000F1B25"/>
    <w:rsid w:val="000F2BA9"/>
    <w:rsid w:val="000F3590"/>
    <w:rsid w:val="000F404C"/>
    <w:rsid w:val="000F5593"/>
    <w:rsid w:val="000F5EB6"/>
    <w:rsid w:val="000F5F1C"/>
    <w:rsid w:val="000F7A98"/>
    <w:rsid w:val="000F7D0A"/>
    <w:rsid w:val="000F7F96"/>
    <w:rsid w:val="0010088E"/>
    <w:rsid w:val="001008E0"/>
    <w:rsid w:val="0010109D"/>
    <w:rsid w:val="00101599"/>
    <w:rsid w:val="0010169B"/>
    <w:rsid w:val="00102E4E"/>
    <w:rsid w:val="001038B3"/>
    <w:rsid w:val="0010485A"/>
    <w:rsid w:val="00104BDC"/>
    <w:rsid w:val="00104D09"/>
    <w:rsid w:val="00105AC7"/>
    <w:rsid w:val="00106325"/>
    <w:rsid w:val="00111216"/>
    <w:rsid w:val="0011283F"/>
    <w:rsid w:val="001129C7"/>
    <w:rsid w:val="001140C4"/>
    <w:rsid w:val="001149DD"/>
    <w:rsid w:val="00114DD5"/>
    <w:rsid w:val="00116A81"/>
    <w:rsid w:val="00117965"/>
    <w:rsid w:val="00120D1B"/>
    <w:rsid w:val="00120DE3"/>
    <w:rsid w:val="00121CE2"/>
    <w:rsid w:val="00122625"/>
    <w:rsid w:val="00123235"/>
    <w:rsid w:val="00126641"/>
    <w:rsid w:val="0012675F"/>
    <w:rsid w:val="00126D08"/>
    <w:rsid w:val="00126DB1"/>
    <w:rsid w:val="00126EF5"/>
    <w:rsid w:val="00126FEE"/>
    <w:rsid w:val="001305EC"/>
    <w:rsid w:val="001314C5"/>
    <w:rsid w:val="0013250D"/>
    <w:rsid w:val="00133530"/>
    <w:rsid w:val="001335E1"/>
    <w:rsid w:val="0013475B"/>
    <w:rsid w:val="00134A2F"/>
    <w:rsid w:val="00135A05"/>
    <w:rsid w:val="0013734D"/>
    <w:rsid w:val="00140401"/>
    <w:rsid w:val="001413FA"/>
    <w:rsid w:val="001429D8"/>
    <w:rsid w:val="00142C53"/>
    <w:rsid w:val="00143BD4"/>
    <w:rsid w:val="00144414"/>
    <w:rsid w:val="00145D4D"/>
    <w:rsid w:val="00145FC9"/>
    <w:rsid w:val="00146C3F"/>
    <w:rsid w:val="00147208"/>
    <w:rsid w:val="00147947"/>
    <w:rsid w:val="00147CC5"/>
    <w:rsid w:val="001517F7"/>
    <w:rsid w:val="00152975"/>
    <w:rsid w:val="0015338A"/>
    <w:rsid w:val="00155759"/>
    <w:rsid w:val="00155C47"/>
    <w:rsid w:val="00160C66"/>
    <w:rsid w:val="00160CBB"/>
    <w:rsid w:val="0016195C"/>
    <w:rsid w:val="001619C1"/>
    <w:rsid w:val="001619EC"/>
    <w:rsid w:val="00161D85"/>
    <w:rsid w:val="00162910"/>
    <w:rsid w:val="00162D31"/>
    <w:rsid w:val="00163D88"/>
    <w:rsid w:val="00164DD3"/>
    <w:rsid w:val="001666AC"/>
    <w:rsid w:val="00166727"/>
    <w:rsid w:val="00167A25"/>
    <w:rsid w:val="0017019C"/>
    <w:rsid w:val="00170EE6"/>
    <w:rsid w:val="00171240"/>
    <w:rsid w:val="001719D7"/>
    <w:rsid w:val="00171D22"/>
    <w:rsid w:val="00172830"/>
    <w:rsid w:val="0017341A"/>
    <w:rsid w:val="0017364E"/>
    <w:rsid w:val="00173F49"/>
    <w:rsid w:val="00174913"/>
    <w:rsid w:val="00175A80"/>
    <w:rsid w:val="00175FC9"/>
    <w:rsid w:val="001771B8"/>
    <w:rsid w:val="0018029A"/>
    <w:rsid w:val="00180603"/>
    <w:rsid w:val="00180A10"/>
    <w:rsid w:val="00180BF1"/>
    <w:rsid w:val="001810F5"/>
    <w:rsid w:val="00181304"/>
    <w:rsid w:val="001818C6"/>
    <w:rsid w:val="00183123"/>
    <w:rsid w:val="001859B7"/>
    <w:rsid w:val="0018669B"/>
    <w:rsid w:val="001868A9"/>
    <w:rsid w:val="001875BF"/>
    <w:rsid w:val="001907E9"/>
    <w:rsid w:val="00190E3B"/>
    <w:rsid w:val="00192915"/>
    <w:rsid w:val="0019393A"/>
    <w:rsid w:val="00193BDC"/>
    <w:rsid w:val="00193C89"/>
    <w:rsid w:val="00195D19"/>
    <w:rsid w:val="00196FD8"/>
    <w:rsid w:val="001975A2"/>
    <w:rsid w:val="00197836"/>
    <w:rsid w:val="00197AD6"/>
    <w:rsid w:val="001A05AE"/>
    <w:rsid w:val="001A1D53"/>
    <w:rsid w:val="001A308A"/>
    <w:rsid w:val="001A36D9"/>
    <w:rsid w:val="001A3B2D"/>
    <w:rsid w:val="001A3FF9"/>
    <w:rsid w:val="001A4594"/>
    <w:rsid w:val="001A4895"/>
    <w:rsid w:val="001A4A96"/>
    <w:rsid w:val="001A4B63"/>
    <w:rsid w:val="001A4CEF"/>
    <w:rsid w:val="001A55EE"/>
    <w:rsid w:val="001A5910"/>
    <w:rsid w:val="001A5FC5"/>
    <w:rsid w:val="001A737F"/>
    <w:rsid w:val="001B08DB"/>
    <w:rsid w:val="001B2E59"/>
    <w:rsid w:val="001B3AE4"/>
    <w:rsid w:val="001B3BF3"/>
    <w:rsid w:val="001B3E72"/>
    <w:rsid w:val="001B3EF7"/>
    <w:rsid w:val="001B4C2A"/>
    <w:rsid w:val="001B5369"/>
    <w:rsid w:val="001B6C41"/>
    <w:rsid w:val="001B743F"/>
    <w:rsid w:val="001B7485"/>
    <w:rsid w:val="001B799E"/>
    <w:rsid w:val="001C0716"/>
    <w:rsid w:val="001C19E3"/>
    <w:rsid w:val="001C1C98"/>
    <w:rsid w:val="001C21A1"/>
    <w:rsid w:val="001C2FF2"/>
    <w:rsid w:val="001C5635"/>
    <w:rsid w:val="001C72B3"/>
    <w:rsid w:val="001C7A93"/>
    <w:rsid w:val="001D0427"/>
    <w:rsid w:val="001D1266"/>
    <w:rsid w:val="001D234C"/>
    <w:rsid w:val="001D42B1"/>
    <w:rsid w:val="001D64B4"/>
    <w:rsid w:val="001D6B53"/>
    <w:rsid w:val="001D7171"/>
    <w:rsid w:val="001E2313"/>
    <w:rsid w:val="001E2E7A"/>
    <w:rsid w:val="001E2F6C"/>
    <w:rsid w:val="001E3D92"/>
    <w:rsid w:val="001E5308"/>
    <w:rsid w:val="001E689E"/>
    <w:rsid w:val="001E7160"/>
    <w:rsid w:val="001F0677"/>
    <w:rsid w:val="001F0FF5"/>
    <w:rsid w:val="001F139E"/>
    <w:rsid w:val="001F17AE"/>
    <w:rsid w:val="001F2098"/>
    <w:rsid w:val="001F2789"/>
    <w:rsid w:val="001F43A7"/>
    <w:rsid w:val="001F4DCC"/>
    <w:rsid w:val="002036D0"/>
    <w:rsid w:val="00203700"/>
    <w:rsid w:val="002049AA"/>
    <w:rsid w:val="00204C9D"/>
    <w:rsid w:val="00204E59"/>
    <w:rsid w:val="002051FD"/>
    <w:rsid w:val="0020550D"/>
    <w:rsid w:val="00206404"/>
    <w:rsid w:val="0020677F"/>
    <w:rsid w:val="00210620"/>
    <w:rsid w:val="00210765"/>
    <w:rsid w:val="0021082D"/>
    <w:rsid w:val="002119F7"/>
    <w:rsid w:val="00212581"/>
    <w:rsid w:val="00213165"/>
    <w:rsid w:val="002131E6"/>
    <w:rsid w:val="00213D60"/>
    <w:rsid w:val="00214DD8"/>
    <w:rsid w:val="00215F2E"/>
    <w:rsid w:val="002163F7"/>
    <w:rsid w:val="0021641E"/>
    <w:rsid w:val="00217B49"/>
    <w:rsid w:val="00217FF3"/>
    <w:rsid w:val="002202D0"/>
    <w:rsid w:val="002206CA"/>
    <w:rsid w:val="002218DD"/>
    <w:rsid w:val="0022296D"/>
    <w:rsid w:val="00226668"/>
    <w:rsid w:val="00226871"/>
    <w:rsid w:val="00226B66"/>
    <w:rsid w:val="00227D64"/>
    <w:rsid w:val="00230EBC"/>
    <w:rsid w:val="002324DB"/>
    <w:rsid w:val="0023265C"/>
    <w:rsid w:val="002326D6"/>
    <w:rsid w:val="00233782"/>
    <w:rsid w:val="002342DE"/>
    <w:rsid w:val="0023461D"/>
    <w:rsid w:val="002348E6"/>
    <w:rsid w:val="0023574A"/>
    <w:rsid w:val="002360BD"/>
    <w:rsid w:val="002370C9"/>
    <w:rsid w:val="00237229"/>
    <w:rsid w:val="00237591"/>
    <w:rsid w:val="002377DA"/>
    <w:rsid w:val="00237CBA"/>
    <w:rsid w:val="0024044A"/>
    <w:rsid w:val="002421F1"/>
    <w:rsid w:val="00242D32"/>
    <w:rsid w:val="00243B26"/>
    <w:rsid w:val="00243F05"/>
    <w:rsid w:val="002445B3"/>
    <w:rsid w:val="002458FF"/>
    <w:rsid w:val="00245AFF"/>
    <w:rsid w:val="00246CAC"/>
    <w:rsid w:val="002473F8"/>
    <w:rsid w:val="00247786"/>
    <w:rsid w:val="00247F68"/>
    <w:rsid w:val="0025116B"/>
    <w:rsid w:val="0025155A"/>
    <w:rsid w:val="002518DD"/>
    <w:rsid w:val="00251936"/>
    <w:rsid w:val="00251E38"/>
    <w:rsid w:val="00252347"/>
    <w:rsid w:val="0025452A"/>
    <w:rsid w:val="00255CEF"/>
    <w:rsid w:val="002574EC"/>
    <w:rsid w:val="002575AE"/>
    <w:rsid w:val="00261790"/>
    <w:rsid w:val="002620B1"/>
    <w:rsid w:val="002623BE"/>
    <w:rsid w:val="0026295A"/>
    <w:rsid w:val="002634C2"/>
    <w:rsid w:val="00263DC6"/>
    <w:rsid w:val="00264A72"/>
    <w:rsid w:val="00264E4F"/>
    <w:rsid w:val="002651DB"/>
    <w:rsid w:val="002652CA"/>
    <w:rsid w:val="00265C87"/>
    <w:rsid w:val="0026605F"/>
    <w:rsid w:val="0026609E"/>
    <w:rsid w:val="0026674B"/>
    <w:rsid w:val="00271A12"/>
    <w:rsid w:val="002730C1"/>
    <w:rsid w:val="002742AF"/>
    <w:rsid w:val="002743F2"/>
    <w:rsid w:val="00274526"/>
    <w:rsid w:val="002749EE"/>
    <w:rsid w:val="002758D9"/>
    <w:rsid w:val="00276E8A"/>
    <w:rsid w:val="002771DB"/>
    <w:rsid w:val="002771E6"/>
    <w:rsid w:val="00277EE6"/>
    <w:rsid w:val="002811C0"/>
    <w:rsid w:val="002815D3"/>
    <w:rsid w:val="00281717"/>
    <w:rsid w:val="00281C1E"/>
    <w:rsid w:val="002837FE"/>
    <w:rsid w:val="00284066"/>
    <w:rsid w:val="00284367"/>
    <w:rsid w:val="00285ADD"/>
    <w:rsid w:val="00285FC2"/>
    <w:rsid w:val="0028723F"/>
    <w:rsid w:val="00287CE5"/>
    <w:rsid w:val="00287DA8"/>
    <w:rsid w:val="0029065A"/>
    <w:rsid w:val="00290EA8"/>
    <w:rsid w:val="00291206"/>
    <w:rsid w:val="002917E9"/>
    <w:rsid w:val="00292D5D"/>
    <w:rsid w:val="00292FB7"/>
    <w:rsid w:val="002938AF"/>
    <w:rsid w:val="002942E9"/>
    <w:rsid w:val="00295878"/>
    <w:rsid w:val="002959EF"/>
    <w:rsid w:val="00295B85"/>
    <w:rsid w:val="002962FF"/>
    <w:rsid w:val="00296999"/>
    <w:rsid w:val="002A0D96"/>
    <w:rsid w:val="002A15F0"/>
    <w:rsid w:val="002A3150"/>
    <w:rsid w:val="002A5394"/>
    <w:rsid w:val="002A54D9"/>
    <w:rsid w:val="002A5824"/>
    <w:rsid w:val="002A6A65"/>
    <w:rsid w:val="002A7F95"/>
    <w:rsid w:val="002B0640"/>
    <w:rsid w:val="002B0AE9"/>
    <w:rsid w:val="002B0FF1"/>
    <w:rsid w:val="002B2D93"/>
    <w:rsid w:val="002B4757"/>
    <w:rsid w:val="002B5085"/>
    <w:rsid w:val="002B536F"/>
    <w:rsid w:val="002B53BE"/>
    <w:rsid w:val="002B5CA3"/>
    <w:rsid w:val="002B6BE3"/>
    <w:rsid w:val="002B6EEA"/>
    <w:rsid w:val="002B7AB4"/>
    <w:rsid w:val="002C0005"/>
    <w:rsid w:val="002C1DB8"/>
    <w:rsid w:val="002C2746"/>
    <w:rsid w:val="002C2A23"/>
    <w:rsid w:val="002C3F08"/>
    <w:rsid w:val="002C4319"/>
    <w:rsid w:val="002C45A9"/>
    <w:rsid w:val="002C516F"/>
    <w:rsid w:val="002C64D9"/>
    <w:rsid w:val="002C6FDF"/>
    <w:rsid w:val="002C7BB8"/>
    <w:rsid w:val="002D0335"/>
    <w:rsid w:val="002D0D45"/>
    <w:rsid w:val="002D1184"/>
    <w:rsid w:val="002D29D0"/>
    <w:rsid w:val="002D3068"/>
    <w:rsid w:val="002D3285"/>
    <w:rsid w:val="002D392B"/>
    <w:rsid w:val="002D51DD"/>
    <w:rsid w:val="002D51FB"/>
    <w:rsid w:val="002D6AF0"/>
    <w:rsid w:val="002D6C37"/>
    <w:rsid w:val="002D7E8B"/>
    <w:rsid w:val="002E15B6"/>
    <w:rsid w:val="002E179C"/>
    <w:rsid w:val="002E1F99"/>
    <w:rsid w:val="002E2FD9"/>
    <w:rsid w:val="002E3D7E"/>
    <w:rsid w:val="002E3DD9"/>
    <w:rsid w:val="002E3FF6"/>
    <w:rsid w:val="002E4341"/>
    <w:rsid w:val="002F0D2F"/>
    <w:rsid w:val="002F0E1C"/>
    <w:rsid w:val="002F1762"/>
    <w:rsid w:val="002F1E81"/>
    <w:rsid w:val="002F3DE9"/>
    <w:rsid w:val="002F4EB8"/>
    <w:rsid w:val="002F5571"/>
    <w:rsid w:val="002F7704"/>
    <w:rsid w:val="003016D1"/>
    <w:rsid w:val="00301A96"/>
    <w:rsid w:val="00302A79"/>
    <w:rsid w:val="003038A6"/>
    <w:rsid w:val="003043FE"/>
    <w:rsid w:val="003052B0"/>
    <w:rsid w:val="00306326"/>
    <w:rsid w:val="00306D71"/>
    <w:rsid w:val="0031025A"/>
    <w:rsid w:val="0031060F"/>
    <w:rsid w:val="00310CE8"/>
    <w:rsid w:val="003115BD"/>
    <w:rsid w:val="00311873"/>
    <w:rsid w:val="003119A6"/>
    <w:rsid w:val="00311F2C"/>
    <w:rsid w:val="00312662"/>
    <w:rsid w:val="003152C6"/>
    <w:rsid w:val="00315678"/>
    <w:rsid w:val="00315E47"/>
    <w:rsid w:val="00320A94"/>
    <w:rsid w:val="00322582"/>
    <w:rsid w:val="00322944"/>
    <w:rsid w:val="00323EA3"/>
    <w:rsid w:val="00323F01"/>
    <w:rsid w:val="00324A33"/>
    <w:rsid w:val="003256E4"/>
    <w:rsid w:val="00325706"/>
    <w:rsid w:val="003262BC"/>
    <w:rsid w:val="003268A9"/>
    <w:rsid w:val="0033043D"/>
    <w:rsid w:val="00330884"/>
    <w:rsid w:val="00330E19"/>
    <w:rsid w:val="00331EE4"/>
    <w:rsid w:val="00334B76"/>
    <w:rsid w:val="00334E8F"/>
    <w:rsid w:val="003354FB"/>
    <w:rsid w:val="003364C8"/>
    <w:rsid w:val="003367A5"/>
    <w:rsid w:val="00336A97"/>
    <w:rsid w:val="00336D5D"/>
    <w:rsid w:val="003404B4"/>
    <w:rsid w:val="0034133E"/>
    <w:rsid w:val="003416AB"/>
    <w:rsid w:val="003430E7"/>
    <w:rsid w:val="003436D7"/>
    <w:rsid w:val="0034399F"/>
    <w:rsid w:val="00343B0A"/>
    <w:rsid w:val="00344030"/>
    <w:rsid w:val="00345402"/>
    <w:rsid w:val="00345BBF"/>
    <w:rsid w:val="00345E3C"/>
    <w:rsid w:val="003463A6"/>
    <w:rsid w:val="003474B6"/>
    <w:rsid w:val="003478E0"/>
    <w:rsid w:val="00350652"/>
    <w:rsid w:val="00350884"/>
    <w:rsid w:val="0035097F"/>
    <w:rsid w:val="00351390"/>
    <w:rsid w:val="00351D15"/>
    <w:rsid w:val="00352217"/>
    <w:rsid w:val="00353348"/>
    <w:rsid w:val="00353622"/>
    <w:rsid w:val="00353853"/>
    <w:rsid w:val="0035487E"/>
    <w:rsid w:val="00355588"/>
    <w:rsid w:val="003562FA"/>
    <w:rsid w:val="00356781"/>
    <w:rsid w:val="00357F3F"/>
    <w:rsid w:val="00360173"/>
    <w:rsid w:val="00360220"/>
    <w:rsid w:val="0036049A"/>
    <w:rsid w:val="00360B81"/>
    <w:rsid w:val="003613FB"/>
    <w:rsid w:val="00361E18"/>
    <w:rsid w:val="003629DD"/>
    <w:rsid w:val="00363AD2"/>
    <w:rsid w:val="00363D6A"/>
    <w:rsid w:val="003647F2"/>
    <w:rsid w:val="003655D4"/>
    <w:rsid w:val="00365CF8"/>
    <w:rsid w:val="0036622D"/>
    <w:rsid w:val="003663C7"/>
    <w:rsid w:val="00366549"/>
    <w:rsid w:val="00367136"/>
    <w:rsid w:val="00367AAD"/>
    <w:rsid w:val="003700F7"/>
    <w:rsid w:val="00370234"/>
    <w:rsid w:val="00371B73"/>
    <w:rsid w:val="00373900"/>
    <w:rsid w:val="00373FD7"/>
    <w:rsid w:val="00374B91"/>
    <w:rsid w:val="0037522E"/>
    <w:rsid w:val="003766DA"/>
    <w:rsid w:val="0037685E"/>
    <w:rsid w:val="00376910"/>
    <w:rsid w:val="00377AE5"/>
    <w:rsid w:val="00382C17"/>
    <w:rsid w:val="00382F15"/>
    <w:rsid w:val="00383D8F"/>
    <w:rsid w:val="00384008"/>
    <w:rsid w:val="00386A88"/>
    <w:rsid w:val="00386E46"/>
    <w:rsid w:val="00390386"/>
    <w:rsid w:val="00391C3E"/>
    <w:rsid w:val="00392A6D"/>
    <w:rsid w:val="0039302C"/>
    <w:rsid w:val="003943F6"/>
    <w:rsid w:val="003961D8"/>
    <w:rsid w:val="00396259"/>
    <w:rsid w:val="00396AA4"/>
    <w:rsid w:val="003972A5"/>
    <w:rsid w:val="003A0A71"/>
    <w:rsid w:val="003A0AED"/>
    <w:rsid w:val="003A1D99"/>
    <w:rsid w:val="003A3452"/>
    <w:rsid w:val="003A6066"/>
    <w:rsid w:val="003A6763"/>
    <w:rsid w:val="003A72F2"/>
    <w:rsid w:val="003A7779"/>
    <w:rsid w:val="003B0ACD"/>
    <w:rsid w:val="003B0E74"/>
    <w:rsid w:val="003B35C6"/>
    <w:rsid w:val="003B4328"/>
    <w:rsid w:val="003B442E"/>
    <w:rsid w:val="003B4C9E"/>
    <w:rsid w:val="003B64CD"/>
    <w:rsid w:val="003B798E"/>
    <w:rsid w:val="003C0389"/>
    <w:rsid w:val="003C0619"/>
    <w:rsid w:val="003C1DC5"/>
    <w:rsid w:val="003C2079"/>
    <w:rsid w:val="003C299B"/>
    <w:rsid w:val="003C3B48"/>
    <w:rsid w:val="003C3F63"/>
    <w:rsid w:val="003C4B65"/>
    <w:rsid w:val="003C51BE"/>
    <w:rsid w:val="003C54C7"/>
    <w:rsid w:val="003C5CA4"/>
    <w:rsid w:val="003C638D"/>
    <w:rsid w:val="003C6AA0"/>
    <w:rsid w:val="003C78A5"/>
    <w:rsid w:val="003D13C9"/>
    <w:rsid w:val="003D3D95"/>
    <w:rsid w:val="003D41F6"/>
    <w:rsid w:val="003D5E42"/>
    <w:rsid w:val="003D600F"/>
    <w:rsid w:val="003D60AF"/>
    <w:rsid w:val="003D7B5F"/>
    <w:rsid w:val="003E02C5"/>
    <w:rsid w:val="003E0C92"/>
    <w:rsid w:val="003E2479"/>
    <w:rsid w:val="003E3170"/>
    <w:rsid w:val="003E4279"/>
    <w:rsid w:val="003E50D7"/>
    <w:rsid w:val="003E6C2E"/>
    <w:rsid w:val="003E7785"/>
    <w:rsid w:val="003F064C"/>
    <w:rsid w:val="003F1270"/>
    <w:rsid w:val="003F23D8"/>
    <w:rsid w:val="003F252E"/>
    <w:rsid w:val="003F253A"/>
    <w:rsid w:val="003F57A6"/>
    <w:rsid w:val="003F59ED"/>
    <w:rsid w:val="003F5BC2"/>
    <w:rsid w:val="003F675C"/>
    <w:rsid w:val="003F6978"/>
    <w:rsid w:val="003F7093"/>
    <w:rsid w:val="003F72C2"/>
    <w:rsid w:val="003F77D3"/>
    <w:rsid w:val="0040026A"/>
    <w:rsid w:val="00401741"/>
    <w:rsid w:val="00401FFE"/>
    <w:rsid w:val="00402231"/>
    <w:rsid w:val="004039AC"/>
    <w:rsid w:val="00403CBB"/>
    <w:rsid w:val="00403F24"/>
    <w:rsid w:val="00404441"/>
    <w:rsid w:val="00406CEA"/>
    <w:rsid w:val="00407C4E"/>
    <w:rsid w:val="00407FA7"/>
    <w:rsid w:val="00410412"/>
    <w:rsid w:val="00410BB2"/>
    <w:rsid w:val="00410D40"/>
    <w:rsid w:val="00410D5F"/>
    <w:rsid w:val="00411411"/>
    <w:rsid w:val="00411699"/>
    <w:rsid w:val="00411AF3"/>
    <w:rsid w:val="00412137"/>
    <w:rsid w:val="00412398"/>
    <w:rsid w:val="00412AAC"/>
    <w:rsid w:val="00412BC2"/>
    <w:rsid w:val="00413D32"/>
    <w:rsid w:val="00414D41"/>
    <w:rsid w:val="0042081B"/>
    <w:rsid w:val="004215FE"/>
    <w:rsid w:val="0042176A"/>
    <w:rsid w:val="0042184D"/>
    <w:rsid w:val="00422CAF"/>
    <w:rsid w:val="00423344"/>
    <w:rsid w:val="00423AA3"/>
    <w:rsid w:val="00423CB8"/>
    <w:rsid w:val="00424056"/>
    <w:rsid w:val="00424895"/>
    <w:rsid w:val="004278C3"/>
    <w:rsid w:val="00431170"/>
    <w:rsid w:val="004314A4"/>
    <w:rsid w:val="00431F61"/>
    <w:rsid w:val="00432F08"/>
    <w:rsid w:val="00433BB6"/>
    <w:rsid w:val="00434BA4"/>
    <w:rsid w:val="00436074"/>
    <w:rsid w:val="00436417"/>
    <w:rsid w:val="00436876"/>
    <w:rsid w:val="00437200"/>
    <w:rsid w:val="00437955"/>
    <w:rsid w:val="00440304"/>
    <w:rsid w:val="0044035E"/>
    <w:rsid w:val="004406CD"/>
    <w:rsid w:val="00440A25"/>
    <w:rsid w:val="0044138F"/>
    <w:rsid w:val="00441E6D"/>
    <w:rsid w:val="00443D4B"/>
    <w:rsid w:val="00444A76"/>
    <w:rsid w:val="00444BD6"/>
    <w:rsid w:val="00444D80"/>
    <w:rsid w:val="00445019"/>
    <w:rsid w:val="00445683"/>
    <w:rsid w:val="00446852"/>
    <w:rsid w:val="00446D5D"/>
    <w:rsid w:val="00446F7C"/>
    <w:rsid w:val="00447C77"/>
    <w:rsid w:val="00447F76"/>
    <w:rsid w:val="0045179D"/>
    <w:rsid w:val="00454653"/>
    <w:rsid w:val="00454C49"/>
    <w:rsid w:val="00455185"/>
    <w:rsid w:val="00455425"/>
    <w:rsid w:val="004600CB"/>
    <w:rsid w:val="0046116E"/>
    <w:rsid w:val="00461865"/>
    <w:rsid w:val="004618B7"/>
    <w:rsid w:val="0046308E"/>
    <w:rsid w:val="0046333C"/>
    <w:rsid w:val="004636DD"/>
    <w:rsid w:val="00465269"/>
    <w:rsid w:val="00465332"/>
    <w:rsid w:val="00466DD4"/>
    <w:rsid w:val="0046733E"/>
    <w:rsid w:val="004678DA"/>
    <w:rsid w:val="00467F57"/>
    <w:rsid w:val="004701DA"/>
    <w:rsid w:val="0047025A"/>
    <w:rsid w:val="00470932"/>
    <w:rsid w:val="00470F60"/>
    <w:rsid w:val="00471177"/>
    <w:rsid w:val="00473564"/>
    <w:rsid w:val="0047476E"/>
    <w:rsid w:val="00474774"/>
    <w:rsid w:val="00474C20"/>
    <w:rsid w:val="00474C3F"/>
    <w:rsid w:val="00474D47"/>
    <w:rsid w:val="00475027"/>
    <w:rsid w:val="00475DA3"/>
    <w:rsid w:val="00476359"/>
    <w:rsid w:val="0047680E"/>
    <w:rsid w:val="0047760D"/>
    <w:rsid w:val="00477770"/>
    <w:rsid w:val="00480F67"/>
    <w:rsid w:val="00482B5E"/>
    <w:rsid w:val="004835C1"/>
    <w:rsid w:val="00483B5F"/>
    <w:rsid w:val="00484443"/>
    <w:rsid w:val="0048588F"/>
    <w:rsid w:val="00485FD2"/>
    <w:rsid w:val="00486418"/>
    <w:rsid w:val="00486EAF"/>
    <w:rsid w:val="00487387"/>
    <w:rsid w:val="004902CB"/>
    <w:rsid w:val="00491614"/>
    <w:rsid w:val="004922F2"/>
    <w:rsid w:val="004924D8"/>
    <w:rsid w:val="00493070"/>
    <w:rsid w:val="004930FE"/>
    <w:rsid w:val="004931E4"/>
    <w:rsid w:val="0049425F"/>
    <w:rsid w:val="00495A25"/>
    <w:rsid w:val="0049682D"/>
    <w:rsid w:val="00496C0F"/>
    <w:rsid w:val="004972AC"/>
    <w:rsid w:val="00497545"/>
    <w:rsid w:val="004975EF"/>
    <w:rsid w:val="00497B25"/>
    <w:rsid w:val="004A04EA"/>
    <w:rsid w:val="004A1A9E"/>
    <w:rsid w:val="004A20DE"/>
    <w:rsid w:val="004A21EA"/>
    <w:rsid w:val="004A2E01"/>
    <w:rsid w:val="004A2E55"/>
    <w:rsid w:val="004A2E67"/>
    <w:rsid w:val="004A3CB7"/>
    <w:rsid w:val="004A4751"/>
    <w:rsid w:val="004A4FD1"/>
    <w:rsid w:val="004A67D8"/>
    <w:rsid w:val="004B0679"/>
    <w:rsid w:val="004B14B0"/>
    <w:rsid w:val="004B18A8"/>
    <w:rsid w:val="004B1D55"/>
    <w:rsid w:val="004B220E"/>
    <w:rsid w:val="004B2293"/>
    <w:rsid w:val="004B323C"/>
    <w:rsid w:val="004B32A8"/>
    <w:rsid w:val="004B3D33"/>
    <w:rsid w:val="004B43A0"/>
    <w:rsid w:val="004B5C75"/>
    <w:rsid w:val="004B5F89"/>
    <w:rsid w:val="004B6DFD"/>
    <w:rsid w:val="004C03FF"/>
    <w:rsid w:val="004C07F4"/>
    <w:rsid w:val="004C1A4E"/>
    <w:rsid w:val="004C31EB"/>
    <w:rsid w:val="004C3B1D"/>
    <w:rsid w:val="004C6899"/>
    <w:rsid w:val="004C74A4"/>
    <w:rsid w:val="004C7F62"/>
    <w:rsid w:val="004D13A7"/>
    <w:rsid w:val="004D17BA"/>
    <w:rsid w:val="004D1A3F"/>
    <w:rsid w:val="004D3B39"/>
    <w:rsid w:val="004D614E"/>
    <w:rsid w:val="004D706D"/>
    <w:rsid w:val="004E15F1"/>
    <w:rsid w:val="004E160A"/>
    <w:rsid w:val="004E373B"/>
    <w:rsid w:val="004E39B7"/>
    <w:rsid w:val="004E4710"/>
    <w:rsid w:val="004E49A8"/>
    <w:rsid w:val="004E54F6"/>
    <w:rsid w:val="004E5D64"/>
    <w:rsid w:val="004F067C"/>
    <w:rsid w:val="004F1345"/>
    <w:rsid w:val="004F19AD"/>
    <w:rsid w:val="004F1F91"/>
    <w:rsid w:val="004F37B2"/>
    <w:rsid w:val="004F3D9A"/>
    <w:rsid w:val="004F4270"/>
    <w:rsid w:val="004F4A07"/>
    <w:rsid w:val="004F5270"/>
    <w:rsid w:val="004F5602"/>
    <w:rsid w:val="004F5B78"/>
    <w:rsid w:val="004F5C6A"/>
    <w:rsid w:val="004F5E10"/>
    <w:rsid w:val="004F6638"/>
    <w:rsid w:val="004F6C21"/>
    <w:rsid w:val="004F792E"/>
    <w:rsid w:val="004F79D0"/>
    <w:rsid w:val="005005DC"/>
    <w:rsid w:val="00500F44"/>
    <w:rsid w:val="00501DEF"/>
    <w:rsid w:val="005028BC"/>
    <w:rsid w:val="00503A5B"/>
    <w:rsid w:val="005102A7"/>
    <w:rsid w:val="0051222D"/>
    <w:rsid w:val="005133C3"/>
    <w:rsid w:val="00513D05"/>
    <w:rsid w:val="005141F2"/>
    <w:rsid w:val="00515EBC"/>
    <w:rsid w:val="00516E1C"/>
    <w:rsid w:val="005203C9"/>
    <w:rsid w:val="00521D4F"/>
    <w:rsid w:val="00524256"/>
    <w:rsid w:val="005253AC"/>
    <w:rsid w:val="00525A5B"/>
    <w:rsid w:val="0052628A"/>
    <w:rsid w:val="00527025"/>
    <w:rsid w:val="0053043A"/>
    <w:rsid w:val="00530DB9"/>
    <w:rsid w:val="00530E16"/>
    <w:rsid w:val="00531AEE"/>
    <w:rsid w:val="005328A0"/>
    <w:rsid w:val="00532C92"/>
    <w:rsid w:val="00533962"/>
    <w:rsid w:val="005342D3"/>
    <w:rsid w:val="005353A4"/>
    <w:rsid w:val="00536AC3"/>
    <w:rsid w:val="00536B38"/>
    <w:rsid w:val="00537CE0"/>
    <w:rsid w:val="005404B6"/>
    <w:rsid w:val="00540690"/>
    <w:rsid w:val="00541B49"/>
    <w:rsid w:val="00541E57"/>
    <w:rsid w:val="005421EC"/>
    <w:rsid w:val="0054237F"/>
    <w:rsid w:val="005432D3"/>
    <w:rsid w:val="00543D4C"/>
    <w:rsid w:val="00543EAD"/>
    <w:rsid w:val="0054464E"/>
    <w:rsid w:val="00544D86"/>
    <w:rsid w:val="00546034"/>
    <w:rsid w:val="005471D7"/>
    <w:rsid w:val="005476B1"/>
    <w:rsid w:val="00547841"/>
    <w:rsid w:val="005513E3"/>
    <w:rsid w:val="0055191F"/>
    <w:rsid w:val="005525EA"/>
    <w:rsid w:val="00554FE8"/>
    <w:rsid w:val="0055699E"/>
    <w:rsid w:val="0055722A"/>
    <w:rsid w:val="00557C7F"/>
    <w:rsid w:val="00557C9A"/>
    <w:rsid w:val="00561BF5"/>
    <w:rsid w:val="00562589"/>
    <w:rsid w:val="00563266"/>
    <w:rsid w:val="005637D1"/>
    <w:rsid w:val="00563841"/>
    <w:rsid w:val="00565634"/>
    <w:rsid w:val="005662FA"/>
    <w:rsid w:val="005703CB"/>
    <w:rsid w:val="00570412"/>
    <w:rsid w:val="00570D65"/>
    <w:rsid w:val="00570F7F"/>
    <w:rsid w:val="00570F94"/>
    <w:rsid w:val="00573F54"/>
    <w:rsid w:val="00575027"/>
    <w:rsid w:val="005773C2"/>
    <w:rsid w:val="005775D7"/>
    <w:rsid w:val="0058186B"/>
    <w:rsid w:val="005824D1"/>
    <w:rsid w:val="005829CA"/>
    <w:rsid w:val="00582D9C"/>
    <w:rsid w:val="005834EC"/>
    <w:rsid w:val="0058378F"/>
    <w:rsid w:val="00584C5A"/>
    <w:rsid w:val="00585253"/>
    <w:rsid w:val="005854D5"/>
    <w:rsid w:val="00585B8F"/>
    <w:rsid w:val="00585E88"/>
    <w:rsid w:val="00585F49"/>
    <w:rsid w:val="00586270"/>
    <w:rsid w:val="00586969"/>
    <w:rsid w:val="00587E72"/>
    <w:rsid w:val="005904AD"/>
    <w:rsid w:val="00592E58"/>
    <w:rsid w:val="005937B3"/>
    <w:rsid w:val="00594C59"/>
    <w:rsid w:val="0059588B"/>
    <w:rsid w:val="00597242"/>
    <w:rsid w:val="005A10F1"/>
    <w:rsid w:val="005A33BA"/>
    <w:rsid w:val="005A4D44"/>
    <w:rsid w:val="005A4EBC"/>
    <w:rsid w:val="005A5967"/>
    <w:rsid w:val="005A6B79"/>
    <w:rsid w:val="005A7E89"/>
    <w:rsid w:val="005A7FB8"/>
    <w:rsid w:val="005B1F87"/>
    <w:rsid w:val="005B3ED3"/>
    <w:rsid w:val="005B4313"/>
    <w:rsid w:val="005B4821"/>
    <w:rsid w:val="005B4C0F"/>
    <w:rsid w:val="005B4EF8"/>
    <w:rsid w:val="005B501E"/>
    <w:rsid w:val="005B652D"/>
    <w:rsid w:val="005B6E8B"/>
    <w:rsid w:val="005B7C26"/>
    <w:rsid w:val="005B7D94"/>
    <w:rsid w:val="005C0072"/>
    <w:rsid w:val="005C3683"/>
    <w:rsid w:val="005C455C"/>
    <w:rsid w:val="005C5761"/>
    <w:rsid w:val="005D02C5"/>
    <w:rsid w:val="005D2000"/>
    <w:rsid w:val="005D390D"/>
    <w:rsid w:val="005D3FAA"/>
    <w:rsid w:val="005D44E0"/>
    <w:rsid w:val="005D53D8"/>
    <w:rsid w:val="005D5432"/>
    <w:rsid w:val="005D5685"/>
    <w:rsid w:val="005D5BF2"/>
    <w:rsid w:val="005D78FD"/>
    <w:rsid w:val="005D7ED8"/>
    <w:rsid w:val="005E0920"/>
    <w:rsid w:val="005E14EB"/>
    <w:rsid w:val="005E153B"/>
    <w:rsid w:val="005E1A89"/>
    <w:rsid w:val="005E26C2"/>
    <w:rsid w:val="005E2BC3"/>
    <w:rsid w:val="005E49D7"/>
    <w:rsid w:val="005E4FCC"/>
    <w:rsid w:val="005F0A5B"/>
    <w:rsid w:val="005F0D94"/>
    <w:rsid w:val="005F127A"/>
    <w:rsid w:val="005F1375"/>
    <w:rsid w:val="005F1494"/>
    <w:rsid w:val="005F1BE7"/>
    <w:rsid w:val="005F1CBB"/>
    <w:rsid w:val="005F2334"/>
    <w:rsid w:val="005F2D4A"/>
    <w:rsid w:val="005F4E9E"/>
    <w:rsid w:val="005F552B"/>
    <w:rsid w:val="005F55C0"/>
    <w:rsid w:val="005F57DF"/>
    <w:rsid w:val="00600D6D"/>
    <w:rsid w:val="00602026"/>
    <w:rsid w:val="006033A4"/>
    <w:rsid w:val="00603644"/>
    <w:rsid w:val="006037F2"/>
    <w:rsid w:val="00604F37"/>
    <w:rsid w:val="006055AF"/>
    <w:rsid w:val="006055CB"/>
    <w:rsid w:val="00605850"/>
    <w:rsid w:val="006070D6"/>
    <w:rsid w:val="0060773E"/>
    <w:rsid w:val="00607830"/>
    <w:rsid w:val="00610B4F"/>
    <w:rsid w:val="006110B0"/>
    <w:rsid w:val="00611656"/>
    <w:rsid w:val="00611C24"/>
    <w:rsid w:val="00612FD2"/>
    <w:rsid w:val="00614AC7"/>
    <w:rsid w:val="00615B6B"/>
    <w:rsid w:val="006169D5"/>
    <w:rsid w:val="006176C4"/>
    <w:rsid w:val="00617947"/>
    <w:rsid w:val="00617A08"/>
    <w:rsid w:val="00617C8C"/>
    <w:rsid w:val="00620252"/>
    <w:rsid w:val="00620E86"/>
    <w:rsid w:val="00621442"/>
    <w:rsid w:val="006216E8"/>
    <w:rsid w:val="006217B5"/>
    <w:rsid w:val="00621DD7"/>
    <w:rsid w:val="00622A9A"/>
    <w:rsid w:val="00622F19"/>
    <w:rsid w:val="006234C0"/>
    <w:rsid w:val="006253F0"/>
    <w:rsid w:val="00626315"/>
    <w:rsid w:val="006269BD"/>
    <w:rsid w:val="006271E1"/>
    <w:rsid w:val="0062750F"/>
    <w:rsid w:val="0063234D"/>
    <w:rsid w:val="006329CF"/>
    <w:rsid w:val="00635647"/>
    <w:rsid w:val="00635F0C"/>
    <w:rsid w:val="0063691C"/>
    <w:rsid w:val="00637625"/>
    <w:rsid w:val="0064095F"/>
    <w:rsid w:val="00642631"/>
    <w:rsid w:val="006428CB"/>
    <w:rsid w:val="006429B3"/>
    <w:rsid w:val="00642E4B"/>
    <w:rsid w:val="00642F12"/>
    <w:rsid w:val="006433B8"/>
    <w:rsid w:val="006434D8"/>
    <w:rsid w:val="0064594D"/>
    <w:rsid w:val="00645BD9"/>
    <w:rsid w:val="006468EE"/>
    <w:rsid w:val="0064713C"/>
    <w:rsid w:val="00647732"/>
    <w:rsid w:val="00650B42"/>
    <w:rsid w:val="006510AA"/>
    <w:rsid w:val="00651820"/>
    <w:rsid w:val="006519C0"/>
    <w:rsid w:val="00651C18"/>
    <w:rsid w:val="006535FF"/>
    <w:rsid w:val="0065452C"/>
    <w:rsid w:val="00654A26"/>
    <w:rsid w:val="006556B5"/>
    <w:rsid w:val="006556FF"/>
    <w:rsid w:val="00655942"/>
    <w:rsid w:val="00660227"/>
    <w:rsid w:val="0066095F"/>
    <w:rsid w:val="006623B0"/>
    <w:rsid w:val="00663006"/>
    <w:rsid w:val="00663676"/>
    <w:rsid w:val="006638DA"/>
    <w:rsid w:val="00664055"/>
    <w:rsid w:val="006647B2"/>
    <w:rsid w:val="00664ACC"/>
    <w:rsid w:val="0066518D"/>
    <w:rsid w:val="00665C42"/>
    <w:rsid w:val="00665E0A"/>
    <w:rsid w:val="006669C6"/>
    <w:rsid w:val="00667987"/>
    <w:rsid w:val="00667C56"/>
    <w:rsid w:val="00667E6A"/>
    <w:rsid w:val="00670BAA"/>
    <w:rsid w:val="00670D77"/>
    <w:rsid w:val="006736FE"/>
    <w:rsid w:val="00673971"/>
    <w:rsid w:val="00676316"/>
    <w:rsid w:val="006764E7"/>
    <w:rsid w:val="00676DE8"/>
    <w:rsid w:val="00680579"/>
    <w:rsid w:val="00682615"/>
    <w:rsid w:val="00683703"/>
    <w:rsid w:val="00683794"/>
    <w:rsid w:val="00683845"/>
    <w:rsid w:val="00684409"/>
    <w:rsid w:val="006844D7"/>
    <w:rsid w:val="00684D41"/>
    <w:rsid w:val="00685D90"/>
    <w:rsid w:val="006879DB"/>
    <w:rsid w:val="00691448"/>
    <w:rsid w:val="00691799"/>
    <w:rsid w:val="00691A4E"/>
    <w:rsid w:val="00691FD1"/>
    <w:rsid w:val="006963C2"/>
    <w:rsid w:val="00696B64"/>
    <w:rsid w:val="00696CA5"/>
    <w:rsid w:val="00697311"/>
    <w:rsid w:val="00697944"/>
    <w:rsid w:val="00697F15"/>
    <w:rsid w:val="006A0463"/>
    <w:rsid w:val="006A0ECE"/>
    <w:rsid w:val="006A1F11"/>
    <w:rsid w:val="006A232A"/>
    <w:rsid w:val="006A3BF7"/>
    <w:rsid w:val="006A3EC1"/>
    <w:rsid w:val="006A553E"/>
    <w:rsid w:val="006A5572"/>
    <w:rsid w:val="006A608A"/>
    <w:rsid w:val="006A6526"/>
    <w:rsid w:val="006A6972"/>
    <w:rsid w:val="006A71AA"/>
    <w:rsid w:val="006A737E"/>
    <w:rsid w:val="006A7DE7"/>
    <w:rsid w:val="006B04D2"/>
    <w:rsid w:val="006B06A4"/>
    <w:rsid w:val="006B0D0B"/>
    <w:rsid w:val="006B2174"/>
    <w:rsid w:val="006B3637"/>
    <w:rsid w:val="006B36D6"/>
    <w:rsid w:val="006B38D1"/>
    <w:rsid w:val="006B3DA7"/>
    <w:rsid w:val="006B3F6A"/>
    <w:rsid w:val="006B433A"/>
    <w:rsid w:val="006B5BE1"/>
    <w:rsid w:val="006C010C"/>
    <w:rsid w:val="006C21FD"/>
    <w:rsid w:val="006C3192"/>
    <w:rsid w:val="006C3624"/>
    <w:rsid w:val="006C48A3"/>
    <w:rsid w:val="006C48B1"/>
    <w:rsid w:val="006C4957"/>
    <w:rsid w:val="006C49CA"/>
    <w:rsid w:val="006C4DA2"/>
    <w:rsid w:val="006C5BF0"/>
    <w:rsid w:val="006C5E9F"/>
    <w:rsid w:val="006C6CF6"/>
    <w:rsid w:val="006C715C"/>
    <w:rsid w:val="006D0A3F"/>
    <w:rsid w:val="006D47F3"/>
    <w:rsid w:val="006D4D64"/>
    <w:rsid w:val="006D6573"/>
    <w:rsid w:val="006E047A"/>
    <w:rsid w:val="006E05CE"/>
    <w:rsid w:val="006E0BEA"/>
    <w:rsid w:val="006E0F1F"/>
    <w:rsid w:val="006E5B73"/>
    <w:rsid w:val="006E6EDE"/>
    <w:rsid w:val="006E716D"/>
    <w:rsid w:val="006E719C"/>
    <w:rsid w:val="006E7513"/>
    <w:rsid w:val="006E76E8"/>
    <w:rsid w:val="006E7D3F"/>
    <w:rsid w:val="006F0A12"/>
    <w:rsid w:val="006F0DC0"/>
    <w:rsid w:val="006F0E73"/>
    <w:rsid w:val="006F1565"/>
    <w:rsid w:val="006F26AA"/>
    <w:rsid w:val="006F3DFF"/>
    <w:rsid w:val="006F434A"/>
    <w:rsid w:val="006F5B34"/>
    <w:rsid w:val="006F5E54"/>
    <w:rsid w:val="00700493"/>
    <w:rsid w:val="007021EB"/>
    <w:rsid w:val="007035E0"/>
    <w:rsid w:val="00703C5E"/>
    <w:rsid w:val="00704212"/>
    <w:rsid w:val="00704953"/>
    <w:rsid w:val="00704FC7"/>
    <w:rsid w:val="007053E9"/>
    <w:rsid w:val="00705CEC"/>
    <w:rsid w:val="00706E3C"/>
    <w:rsid w:val="0070794E"/>
    <w:rsid w:val="00707E52"/>
    <w:rsid w:val="00710B51"/>
    <w:rsid w:val="007123F5"/>
    <w:rsid w:val="0071455B"/>
    <w:rsid w:val="00715312"/>
    <w:rsid w:val="00715738"/>
    <w:rsid w:val="00715A29"/>
    <w:rsid w:val="0071653E"/>
    <w:rsid w:val="00716740"/>
    <w:rsid w:val="007204FD"/>
    <w:rsid w:val="00721974"/>
    <w:rsid w:val="00724876"/>
    <w:rsid w:val="0072525E"/>
    <w:rsid w:val="00727520"/>
    <w:rsid w:val="00727BF8"/>
    <w:rsid w:val="00730548"/>
    <w:rsid w:val="00731696"/>
    <w:rsid w:val="0073193E"/>
    <w:rsid w:val="00731990"/>
    <w:rsid w:val="00735049"/>
    <w:rsid w:val="00735226"/>
    <w:rsid w:val="00735731"/>
    <w:rsid w:val="00735CF0"/>
    <w:rsid w:val="0073663D"/>
    <w:rsid w:val="00736B01"/>
    <w:rsid w:val="00742CD0"/>
    <w:rsid w:val="00743703"/>
    <w:rsid w:val="00743862"/>
    <w:rsid w:val="0074401F"/>
    <w:rsid w:val="00745D1C"/>
    <w:rsid w:val="007462E0"/>
    <w:rsid w:val="00746398"/>
    <w:rsid w:val="00746E98"/>
    <w:rsid w:val="00750929"/>
    <w:rsid w:val="00750945"/>
    <w:rsid w:val="00750E67"/>
    <w:rsid w:val="0075202D"/>
    <w:rsid w:val="007523B6"/>
    <w:rsid w:val="00753B2E"/>
    <w:rsid w:val="007540E5"/>
    <w:rsid w:val="00754102"/>
    <w:rsid w:val="00754317"/>
    <w:rsid w:val="007560E4"/>
    <w:rsid w:val="00757CF0"/>
    <w:rsid w:val="00760A92"/>
    <w:rsid w:val="007612C1"/>
    <w:rsid w:val="00761A07"/>
    <w:rsid w:val="00762AE8"/>
    <w:rsid w:val="00762BC0"/>
    <w:rsid w:val="00763BE4"/>
    <w:rsid w:val="0076400F"/>
    <w:rsid w:val="007646B9"/>
    <w:rsid w:val="00764756"/>
    <w:rsid w:val="00765022"/>
    <w:rsid w:val="007653C1"/>
    <w:rsid w:val="0076658E"/>
    <w:rsid w:val="00766A48"/>
    <w:rsid w:val="0077073E"/>
    <w:rsid w:val="007712DC"/>
    <w:rsid w:val="007713E5"/>
    <w:rsid w:val="007726A5"/>
    <w:rsid w:val="00773AE9"/>
    <w:rsid w:val="00774150"/>
    <w:rsid w:val="007752A9"/>
    <w:rsid w:val="007764B2"/>
    <w:rsid w:val="00776638"/>
    <w:rsid w:val="00776D75"/>
    <w:rsid w:val="007779F9"/>
    <w:rsid w:val="00777A64"/>
    <w:rsid w:val="00780504"/>
    <w:rsid w:val="007815A6"/>
    <w:rsid w:val="00781A3E"/>
    <w:rsid w:val="00782518"/>
    <w:rsid w:val="007842CB"/>
    <w:rsid w:val="00784468"/>
    <w:rsid w:val="00784CBF"/>
    <w:rsid w:val="00785040"/>
    <w:rsid w:val="00785655"/>
    <w:rsid w:val="00785BBF"/>
    <w:rsid w:val="00790328"/>
    <w:rsid w:val="007919D5"/>
    <w:rsid w:val="0079297D"/>
    <w:rsid w:val="00793D5D"/>
    <w:rsid w:val="00794F40"/>
    <w:rsid w:val="00795340"/>
    <w:rsid w:val="00795371"/>
    <w:rsid w:val="00795DAB"/>
    <w:rsid w:val="007A0A1D"/>
    <w:rsid w:val="007A0E78"/>
    <w:rsid w:val="007A1727"/>
    <w:rsid w:val="007A277B"/>
    <w:rsid w:val="007A4223"/>
    <w:rsid w:val="007A4242"/>
    <w:rsid w:val="007A499A"/>
    <w:rsid w:val="007A5F83"/>
    <w:rsid w:val="007A6D4A"/>
    <w:rsid w:val="007B0537"/>
    <w:rsid w:val="007B11B1"/>
    <w:rsid w:val="007B2E98"/>
    <w:rsid w:val="007B33C6"/>
    <w:rsid w:val="007B348E"/>
    <w:rsid w:val="007B431A"/>
    <w:rsid w:val="007B53AC"/>
    <w:rsid w:val="007B5E84"/>
    <w:rsid w:val="007B6731"/>
    <w:rsid w:val="007B708E"/>
    <w:rsid w:val="007B7A4A"/>
    <w:rsid w:val="007B7ADC"/>
    <w:rsid w:val="007C0D5C"/>
    <w:rsid w:val="007C1367"/>
    <w:rsid w:val="007C245C"/>
    <w:rsid w:val="007C2494"/>
    <w:rsid w:val="007C4217"/>
    <w:rsid w:val="007C438D"/>
    <w:rsid w:val="007C44B7"/>
    <w:rsid w:val="007C456D"/>
    <w:rsid w:val="007C4BB0"/>
    <w:rsid w:val="007C5F71"/>
    <w:rsid w:val="007C6CDB"/>
    <w:rsid w:val="007C7A4A"/>
    <w:rsid w:val="007D0560"/>
    <w:rsid w:val="007D0C45"/>
    <w:rsid w:val="007D0DEF"/>
    <w:rsid w:val="007D147F"/>
    <w:rsid w:val="007D18D3"/>
    <w:rsid w:val="007D249F"/>
    <w:rsid w:val="007D28A8"/>
    <w:rsid w:val="007D2A57"/>
    <w:rsid w:val="007D3380"/>
    <w:rsid w:val="007D33E9"/>
    <w:rsid w:val="007D567F"/>
    <w:rsid w:val="007D7327"/>
    <w:rsid w:val="007D7498"/>
    <w:rsid w:val="007D74D9"/>
    <w:rsid w:val="007D7826"/>
    <w:rsid w:val="007D7AFF"/>
    <w:rsid w:val="007D7FF6"/>
    <w:rsid w:val="007E08C7"/>
    <w:rsid w:val="007E1C87"/>
    <w:rsid w:val="007E28D5"/>
    <w:rsid w:val="007E300B"/>
    <w:rsid w:val="007E3035"/>
    <w:rsid w:val="007E3141"/>
    <w:rsid w:val="007E5900"/>
    <w:rsid w:val="007E6D2F"/>
    <w:rsid w:val="007E7B2F"/>
    <w:rsid w:val="007E7D9B"/>
    <w:rsid w:val="007F0E68"/>
    <w:rsid w:val="007F0EA2"/>
    <w:rsid w:val="007F0F35"/>
    <w:rsid w:val="007F2637"/>
    <w:rsid w:val="007F2AD1"/>
    <w:rsid w:val="007F2CA6"/>
    <w:rsid w:val="007F2FBE"/>
    <w:rsid w:val="007F31DD"/>
    <w:rsid w:val="007F333D"/>
    <w:rsid w:val="007F3BA1"/>
    <w:rsid w:val="007F433C"/>
    <w:rsid w:val="007F4DB8"/>
    <w:rsid w:val="007F751C"/>
    <w:rsid w:val="007F7B43"/>
    <w:rsid w:val="00802A39"/>
    <w:rsid w:val="0080318B"/>
    <w:rsid w:val="00803604"/>
    <w:rsid w:val="0080386C"/>
    <w:rsid w:val="008039DF"/>
    <w:rsid w:val="00803BB2"/>
    <w:rsid w:val="00804896"/>
    <w:rsid w:val="00804CE6"/>
    <w:rsid w:val="00806454"/>
    <w:rsid w:val="00806A19"/>
    <w:rsid w:val="008070BF"/>
    <w:rsid w:val="0081143D"/>
    <w:rsid w:val="00811499"/>
    <w:rsid w:val="00811EE6"/>
    <w:rsid w:val="00812E3B"/>
    <w:rsid w:val="008150DA"/>
    <w:rsid w:val="00816876"/>
    <w:rsid w:val="0081728D"/>
    <w:rsid w:val="0082133D"/>
    <w:rsid w:val="008222FC"/>
    <w:rsid w:val="008224A0"/>
    <w:rsid w:val="00823906"/>
    <w:rsid w:val="00823E06"/>
    <w:rsid w:val="00825ABA"/>
    <w:rsid w:val="00825FC9"/>
    <w:rsid w:val="00827BA1"/>
    <w:rsid w:val="00832405"/>
    <w:rsid w:val="00833723"/>
    <w:rsid w:val="008338F3"/>
    <w:rsid w:val="0083484F"/>
    <w:rsid w:val="00834C63"/>
    <w:rsid w:val="0083542D"/>
    <w:rsid w:val="00835F34"/>
    <w:rsid w:val="00837249"/>
    <w:rsid w:val="00837C24"/>
    <w:rsid w:val="00840878"/>
    <w:rsid w:val="00840C07"/>
    <w:rsid w:val="00840FA1"/>
    <w:rsid w:val="008413E6"/>
    <w:rsid w:val="00841597"/>
    <w:rsid w:val="0084164C"/>
    <w:rsid w:val="00841699"/>
    <w:rsid w:val="00842ABE"/>
    <w:rsid w:val="00842FDA"/>
    <w:rsid w:val="00842FF3"/>
    <w:rsid w:val="00843F00"/>
    <w:rsid w:val="00844741"/>
    <w:rsid w:val="00845435"/>
    <w:rsid w:val="00850966"/>
    <w:rsid w:val="00851798"/>
    <w:rsid w:val="008523F8"/>
    <w:rsid w:val="008546BD"/>
    <w:rsid w:val="00856D3A"/>
    <w:rsid w:val="00857109"/>
    <w:rsid w:val="008578D3"/>
    <w:rsid w:val="00860041"/>
    <w:rsid w:val="0086310F"/>
    <w:rsid w:val="0086693C"/>
    <w:rsid w:val="008672FC"/>
    <w:rsid w:val="008674D5"/>
    <w:rsid w:val="00867A06"/>
    <w:rsid w:val="00871517"/>
    <w:rsid w:val="008717F3"/>
    <w:rsid w:val="00871A6C"/>
    <w:rsid w:val="00871ED6"/>
    <w:rsid w:val="00873CD6"/>
    <w:rsid w:val="00874E92"/>
    <w:rsid w:val="00875009"/>
    <w:rsid w:val="0087620D"/>
    <w:rsid w:val="00876AE8"/>
    <w:rsid w:val="008811F8"/>
    <w:rsid w:val="00881AEC"/>
    <w:rsid w:val="00883739"/>
    <w:rsid w:val="00883952"/>
    <w:rsid w:val="00883C6D"/>
    <w:rsid w:val="0088432B"/>
    <w:rsid w:val="00884358"/>
    <w:rsid w:val="008849B4"/>
    <w:rsid w:val="008854AD"/>
    <w:rsid w:val="00885B78"/>
    <w:rsid w:val="008867C0"/>
    <w:rsid w:val="0089089D"/>
    <w:rsid w:val="00890DEE"/>
    <w:rsid w:val="008910B0"/>
    <w:rsid w:val="00891B60"/>
    <w:rsid w:val="00892E9B"/>
    <w:rsid w:val="008949FE"/>
    <w:rsid w:val="00895567"/>
    <w:rsid w:val="00895B24"/>
    <w:rsid w:val="0089718F"/>
    <w:rsid w:val="008A01AF"/>
    <w:rsid w:val="008A042B"/>
    <w:rsid w:val="008A0A6B"/>
    <w:rsid w:val="008A18B0"/>
    <w:rsid w:val="008A19EE"/>
    <w:rsid w:val="008A2A30"/>
    <w:rsid w:val="008A2E3D"/>
    <w:rsid w:val="008A3E98"/>
    <w:rsid w:val="008A4829"/>
    <w:rsid w:val="008A68FA"/>
    <w:rsid w:val="008A703A"/>
    <w:rsid w:val="008B113D"/>
    <w:rsid w:val="008B3A0E"/>
    <w:rsid w:val="008B3C06"/>
    <w:rsid w:val="008B44F2"/>
    <w:rsid w:val="008B64A5"/>
    <w:rsid w:val="008B651B"/>
    <w:rsid w:val="008B6E7C"/>
    <w:rsid w:val="008C0922"/>
    <w:rsid w:val="008C1193"/>
    <w:rsid w:val="008C1F0E"/>
    <w:rsid w:val="008C1FC3"/>
    <w:rsid w:val="008C1FE8"/>
    <w:rsid w:val="008C25EB"/>
    <w:rsid w:val="008C289F"/>
    <w:rsid w:val="008C4A6E"/>
    <w:rsid w:val="008C51F9"/>
    <w:rsid w:val="008C5796"/>
    <w:rsid w:val="008C5F15"/>
    <w:rsid w:val="008C639B"/>
    <w:rsid w:val="008C645E"/>
    <w:rsid w:val="008C68E8"/>
    <w:rsid w:val="008C7A02"/>
    <w:rsid w:val="008D0550"/>
    <w:rsid w:val="008D0B6E"/>
    <w:rsid w:val="008D0EFF"/>
    <w:rsid w:val="008D2935"/>
    <w:rsid w:val="008D511D"/>
    <w:rsid w:val="008D5842"/>
    <w:rsid w:val="008D66FF"/>
    <w:rsid w:val="008D6C02"/>
    <w:rsid w:val="008E0F3C"/>
    <w:rsid w:val="008E1FDD"/>
    <w:rsid w:val="008E357E"/>
    <w:rsid w:val="008E4A8B"/>
    <w:rsid w:val="008E5295"/>
    <w:rsid w:val="008E64F7"/>
    <w:rsid w:val="008E6B3D"/>
    <w:rsid w:val="008E6D15"/>
    <w:rsid w:val="008E7405"/>
    <w:rsid w:val="008F0CAD"/>
    <w:rsid w:val="008F0DA4"/>
    <w:rsid w:val="008F4701"/>
    <w:rsid w:val="008F5484"/>
    <w:rsid w:val="008F569F"/>
    <w:rsid w:val="008F58BA"/>
    <w:rsid w:val="008F5F1B"/>
    <w:rsid w:val="008F6646"/>
    <w:rsid w:val="0090114C"/>
    <w:rsid w:val="00901BED"/>
    <w:rsid w:val="00901D21"/>
    <w:rsid w:val="00901E37"/>
    <w:rsid w:val="00902D6E"/>
    <w:rsid w:val="00902DA8"/>
    <w:rsid w:val="009034C7"/>
    <w:rsid w:val="009037CF"/>
    <w:rsid w:val="00903DE9"/>
    <w:rsid w:val="0090455F"/>
    <w:rsid w:val="00905BC4"/>
    <w:rsid w:val="009077D9"/>
    <w:rsid w:val="00907D93"/>
    <w:rsid w:val="00910B7F"/>
    <w:rsid w:val="0091141E"/>
    <w:rsid w:val="009134FF"/>
    <w:rsid w:val="0091374E"/>
    <w:rsid w:val="00913B78"/>
    <w:rsid w:val="00913C18"/>
    <w:rsid w:val="00913D8A"/>
    <w:rsid w:val="00913DCC"/>
    <w:rsid w:val="00914A41"/>
    <w:rsid w:val="00914DFF"/>
    <w:rsid w:val="00915C46"/>
    <w:rsid w:val="00915D8E"/>
    <w:rsid w:val="00915EA9"/>
    <w:rsid w:val="00916B43"/>
    <w:rsid w:val="00920837"/>
    <w:rsid w:val="00921B99"/>
    <w:rsid w:val="00922DAC"/>
    <w:rsid w:val="00923310"/>
    <w:rsid w:val="00923D2E"/>
    <w:rsid w:val="0092425B"/>
    <w:rsid w:val="00925849"/>
    <w:rsid w:val="009259B9"/>
    <w:rsid w:val="00926297"/>
    <w:rsid w:val="00926359"/>
    <w:rsid w:val="00926695"/>
    <w:rsid w:val="0092687F"/>
    <w:rsid w:val="00927914"/>
    <w:rsid w:val="00927F1E"/>
    <w:rsid w:val="00930356"/>
    <w:rsid w:val="009305E1"/>
    <w:rsid w:val="0093129A"/>
    <w:rsid w:val="00931316"/>
    <w:rsid w:val="009318F2"/>
    <w:rsid w:val="009320FD"/>
    <w:rsid w:val="00933FF3"/>
    <w:rsid w:val="0093472B"/>
    <w:rsid w:val="00934F4F"/>
    <w:rsid w:val="00934FA9"/>
    <w:rsid w:val="009356B1"/>
    <w:rsid w:val="00936D98"/>
    <w:rsid w:val="00937A67"/>
    <w:rsid w:val="0094051C"/>
    <w:rsid w:val="00941468"/>
    <w:rsid w:val="009420E1"/>
    <w:rsid w:val="009422CE"/>
    <w:rsid w:val="00943148"/>
    <w:rsid w:val="00943A00"/>
    <w:rsid w:val="00944106"/>
    <w:rsid w:val="009455A0"/>
    <w:rsid w:val="0094729D"/>
    <w:rsid w:val="00950F92"/>
    <w:rsid w:val="00951314"/>
    <w:rsid w:val="00952E54"/>
    <w:rsid w:val="009533D2"/>
    <w:rsid w:val="009535ED"/>
    <w:rsid w:val="0095373A"/>
    <w:rsid w:val="00955288"/>
    <w:rsid w:val="00955352"/>
    <w:rsid w:val="00955748"/>
    <w:rsid w:val="00956D2C"/>
    <w:rsid w:val="0096155F"/>
    <w:rsid w:val="00961F1C"/>
    <w:rsid w:val="009637B1"/>
    <w:rsid w:val="009645A5"/>
    <w:rsid w:val="00966F82"/>
    <w:rsid w:val="0097003C"/>
    <w:rsid w:val="00971477"/>
    <w:rsid w:val="00972CE6"/>
    <w:rsid w:val="00972DC6"/>
    <w:rsid w:val="0097573C"/>
    <w:rsid w:val="009760E1"/>
    <w:rsid w:val="009765DB"/>
    <w:rsid w:val="00976D60"/>
    <w:rsid w:val="009771E4"/>
    <w:rsid w:val="0097763B"/>
    <w:rsid w:val="0098244B"/>
    <w:rsid w:val="00984E35"/>
    <w:rsid w:val="00985B01"/>
    <w:rsid w:val="00985B9D"/>
    <w:rsid w:val="00987C84"/>
    <w:rsid w:val="0099062D"/>
    <w:rsid w:val="00990AF1"/>
    <w:rsid w:val="00990DA7"/>
    <w:rsid w:val="00990F21"/>
    <w:rsid w:val="00991772"/>
    <w:rsid w:val="009922AF"/>
    <w:rsid w:val="009922B4"/>
    <w:rsid w:val="0099242F"/>
    <w:rsid w:val="009927A2"/>
    <w:rsid w:val="00993A20"/>
    <w:rsid w:val="00993D83"/>
    <w:rsid w:val="00994240"/>
    <w:rsid w:val="00995064"/>
    <w:rsid w:val="00996308"/>
    <w:rsid w:val="00996616"/>
    <w:rsid w:val="00996B34"/>
    <w:rsid w:val="00996F51"/>
    <w:rsid w:val="00997C1B"/>
    <w:rsid w:val="009A096E"/>
    <w:rsid w:val="009A0E80"/>
    <w:rsid w:val="009A1F21"/>
    <w:rsid w:val="009A309D"/>
    <w:rsid w:val="009A3153"/>
    <w:rsid w:val="009A34E7"/>
    <w:rsid w:val="009A3925"/>
    <w:rsid w:val="009A3AC2"/>
    <w:rsid w:val="009A4BC7"/>
    <w:rsid w:val="009A5496"/>
    <w:rsid w:val="009A54E9"/>
    <w:rsid w:val="009A6073"/>
    <w:rsid w:val="009A7038"/>
    <w:rsid w:val="009A70FF"/>
    <w:rsid w:val="009A7CFE"/>
    <w:rsid w:val="009B10B5"/>
    <w:rsid w:val="009B12E5"/>
    <w:rsid w:val="009B1AC7"/>
    <w:rsid w:val="009B3C36"/>
    <w:rsid w:val="009B3E0F"/>
    <w:rsid w:val="009B5375"/>
    <w:rsid w:val="009B5D45"/>
    <w:rsid w:val="009B6047"/>
    <w:rsid w:val="009B686F"/>
    <w:rsid w:val="009C0451"/>
    <w:rsid w:val="009C09F0"/>
    <w:rsid w:val="009C0AC3"/>
    <w:rsid w:val="009C0DAE"/>
    <w:rsid w:val="009C12DC"/>
    <w:rsid w:val="009C334D"/>
    <w:rsid w:val="009C3480"/>
    <w:rsid w:val="009C6537"/>
    <w:rsid w:val="009C6792"/>
    <w:rsid w:val="009C6EC1"/>
    <w:rsid w:val="009C73C6"/>
    <w:rsid w:val="009D0CC7"/>
    <w:rsid w:val="009D0EAE"/>
    <w:rsid w:val="009D1088"/>
    <w:rsid w:val="009D11D8"/>
    <w:rsid w:val="009D1451"/>
    <w:rsid w:val="009D1B81"/>
    <w:rsid w:val="009D1D28"/>
    <w:rsid w:val="009D2655"/>
    <w:rsid w:val="009D2CAD"/>
    <w:rsid w:val="009D351B"/>
    <w:rsid w:val="009D3528"/>
    <w:rsid w:val="009D4075"/>
    <w:rsid w:val="009D4690"/>
    <w:rsid w:val="009D4950"/>
    <w:rsid w:val="009D4C1E"/>
    <w:rsid w:val="009D52C2"/>
    <w:rsid w:val="009D766C"/>
    <w:rsid w:val="009E00D0"/>
    <w:rsid w:val="009E1136"/>
    <w:rsid w:val="009E11B3"/>
    <w:rsid w:val="009E21FB"/>
    <w:rsid w:val="009E2F46"/>
    <w:rsid w:val="009E38C2"/>
    <w:rsid w:val="009E4CC9"/>
    <w:rsid w:val="009E4E10"/>
    <w:rsid w:val="009E5F04"/>
    <w:rsid w:val="009E660C"/>
    <w:rsid w:val="009E6AB4"/>
    <w:rsid w:val="009E74A6"/>
    <w:rsid w:val="009F3C7B"/>
    <w:rsid w:val="009F3EBB"/>
    <w:rsid w:val="009F4114"/>
    <w:rsid w:val="009F593E"/>
    <w:rsid w:val="009F6542"/>
    <w:rsid w:val="009F78F6"/>
    <w:rsid w:val="00A0065A"/>
    <w:rsid w:val="00A0080F"/>
    <w:rsid w:val="00A00A4F"/>
    <w:rsid w:val="00A00AD7"/>
    <w:rsid w:val="00A00E1A"/>
    <w:rsid w:val="00A010C3"/>
    <w:rsid w:val="00A021CB"/>
    <w:rsid w:val="00A028F9"/>
    <w:rsid w:val="00A031AE"/>
    <w:rsid w:val="00A03935"/>
    <w:rsid w:val="00A06090"/>
    <w:rsid w:val="00A0689C"/>
    <w:rsid w:val="00A06F97"/>
    <w:rsid w:val="00A075E9"/>
    <w:rsid w:val="00A075EA"/>
    <w:rsid w:val="00A0768C"/>
    <w:rsid w:val="00A10283"/>
    <w:rsid w:val="00A10973"/>
    <w:rsid w:val="00A10D15"/>
    <w:rsid w:val="00A112A0"/>
    <w:rsid w:val="00A115A3"/>
    <w:rsid w:val="00A1205A"/>
    <w:rsid w:val="00A125B0"/>
    <w:rsid w:val="00A12B57"/>
    <w:rsid w:val="00A138C3"/>
    <w:rsid w:val="00A14711"/>
    <w:rsid w:val="00A14F35"/>
    <w:rsid w:val="00A16715"/>
    <w:rsid w:val="00A20433"/>
    <w:rsid w:val="00A21E58"/>
    <w:rsid w:val="00A223ED"/>
    <w:rsid w:val="00A23AC5"/>
    <w:rsid w:val="00A23CB9"/>
    <w:rsid w:val="00A2413C"/>
    <w:rsid w:val="00A244B4"/>
    <w:rsid w:val="00A24977"/>
    <w:rsid w:val="00A24DBE"/>
    <w:rsid w:val="00A25F25"/>
    <w:rsid w:val="00A26B94"/>
    <w:rsid w:val="00A2742D"/>
    <w:rsid w:val="00A31AB2"/>
    <w:rsid w:val="00A31F7D"/>
    <w:rsid w:val="00A327FC"/>
    <w:rsid w:val="00A33BAB"/>
    <w:rsid w:val="00A35481"/>
    <w:rsid w:val="00A3578A"/>
    <w:rsid w:val="00A35F68"/>
    <w:rsid w:val="00A36C57"/>
    <w:rsid w:val="00A36DFB"/>
    <w:rsid w:val="00A37358"/>
    <w:rsid w:val="00A40CB6"/>
    <w:rsid w:val="00A4120F"/>
    <w:rsid w:val="00A419A4"/>
    <w:rsid w:val="00A42724"/>
    <w:rsid w:val="00A448C4"/>
    <w:rsid w:val="00A44FAB"/>
    <w:rsid w:val="00A45AEF"/>
    <w:rsid w:val="00A464E5"/>
    <w:rsid w:val="00A474E8"/>
    <w:rsid w:val="00A47EC8"/>
    <w:rsid w:val="00A501A9"/>
    <w:rsid w:val="00A50AC3"/>
    <w:rsid w:val="00A51C6E"/>
    <w:rsid w:val="00A52044"/>
    <w:rsid w:val="00A53A9F"/>
    <w:rsid w:val="00A53C73"/>
    <w:rsid w:val="00A547FB"/>
    <w:rsid w:val="00A54C65"/>
    <w:rsid w:val="00A556AC"/>
    <w:rsid w:val="00A55787"/>
    <w:rsid w:val="00A55989"/>
    <w:rsid w:val="00A56938"/>
    <w:rsid w:val="00A56B44"/>
    <w:rsid w:val="00A608AB"/>
    <w:rsid w:val="00A610C9"/>
    <w:rsid w:val="00A610D0"/>
    <w:rsid w:val="00A616C1"/>
    <w:rsid w:val="00A62012"/>
    <w:rsid w:val="00A6225D"/>
    <w:rsid w:val="00A62E3D"/>
    <w:rsid w:val="00A64111"/>
    <w:rsid w:val="00A643F8"/>
    <w:rsid w:val="00A654E1"/>
    <w:rsid w:val="00A65BE6"/>
    <w:rsid w:val="00A665C4"/>
    <w:rsid w:val="00A674A5"/>
    <w:rsid w:val="00A701D7"/>
    <w:rsid w:val="00A70C13"/>
    <w:rsid w:val="00A71258"/>
    <w:rsid w:val="00A71C72"/>
    <w:rsid w:val="00A72C44"/>
    <w:rsid w:val="00A743C6"/>
    <w:rsid w:val="00A76EB4"/>
    <w:rsid w:val="00A80DBE"/>
    <w:rsid w:val="00A81792"/>
    <w:rsid w:val="00A81EAC"/>
    <w:rsid w:val="00A8399C"/>
    <w:rsid w:val="00A83AEA"/>
    <w:rsid w:val="00A83BD9"/>
    <w:rsid w:val="00A84623"/>
    <w:rsid w:val="00A8600F"/>
    <w:rsid w:val="00A87242"/>
    <w:rsid w:val="00A87E21"/>
    <w:rsid w:val="00A9377F"/>
    <w:rsid w:val="00A93CDB"/>
    <w:rsid w:val="00A94305"/>
    <w:rsid w:val="00A947F6"/>
    <w:rsid w:val="00A95421"/>
    <w:rsid w:val="00A972F8"/>
    <w:rsid w:val="00A97573"/>
    <w:rsid w:val="00A97A7B"/>
    <w:rsid w:val="00A97CC9"/>
    <w:rsid w:val="00AA10C4"/>
    <w:rsid w:val="00AA1183"/>
    <w:rsid w:val="00AA16EC"/>
    <w:rsid w:val="00AA172B"/>
    <w:rsid w:val="00AA2E37"/>
    <w:rsid w:val="00AA2E5D"/>
    <w:rsid w:val="00AA31BF"/>
    <w:rsid w:val="00AA33D7"/>
    <w:rsid w:val="00AA3EC9"/>
    <w:rsid w:val="00AA4CC9"/>
    <w:rsid w:val="00AA5E1D"/>
    <w:rsid w:val="00AB1567"/>
    <w:rsid w:val="00AB16FE"/>
    <w:rsid w:val="00AB18AE"/>
    <w:rsid w:val="00AB18C7"/>
    <w:rsid w:val="00AB1E87"/>
    <w:rsid w:val="00AB1E93"/>
    <w:rsid w:val="00AB2641"/>
    <w:rsid w:val="00AB2A8C"/>
    <w:rsid w:val="00AB2E0D"/>
    <w:rsid w:val="00AB3708"/>
    <w:rsid w:val="00AB431A"/>
    <w:rsid w:val="00AB5C0F"/>
    <w:rsid w:val="00AB6038"/>
    <w:rsid w:val="00AB60E1"/>
    <w:rsid w:val="00AB635A"/>
    <w:rsid w:val="00AB6C56"/>
    <w:rsid w:val="00AB6CDF"/>
    <w:rsid w:val="00AB74A8"/>
    <w:rsid w:val="00AC00CC"/>
    <w:rsid w:val="00AC152F"/>
    <w:rsid w:val="00AC1CC6"/>
    <w:rsid w:val="00AC1E30"/>
    <w:rsid w:val="00AC286C"/>
    <w:rsid w:val="00AC4384"/>
    <w:rsid w:val="00AC6F66"/>
    <w:rsid w:val="00AC736F"/>
    <w:rsid w:val="00AC7DB5"/>
    <w:rsid w:val="00AC7FF3"/>
    <w:rsid w:val="00AD08DA"/>
    <w:rsid w:val="00AD197C"/>
    <w:rsid w:val="00AD4355"/>
    <w:rsid w:val="00AD4464"/>
    <w:rsid w:val="00AD598C"/>
    <w:rsid w:val="00AD5B53"/>
    <w:rsid w:val="00AD5C6E"/>
    <w:rsid w:val="00AD5F6E"/>
    <w:rsid w:val="00AE006D"/>
    <w:rsid w:val="00AE1614"/>
    <w:rsid w:val="00AE2BEB"/>
    <w:rsid w:val="00AE2C2A"/>
    <w:rsid w:val="00AE2F8E"/>
    <w:rsid w:val="00AE3C51"/>
    <w:rsid w:val="00AE4F6E"/>
    <w:rsid w:val="00AE51A1"/>
    <w:rsid w:val="00AE52AE"/>
    <w:rsid w:val="00AE5CF2"/>
    <w:rsid w:val="00AE6D05"/>
    <w:rsid w:val="00AE6D2D"/>
    <w:rsid w:val="00AE7118"/>
    <w:rsid w:val="00AE7390"/>
    <w:rsid w:val="00AF035C"/>
    <w:rsid w:val="00AF2450"/>
    <w:rsid w:val="00AF27BF"/>
    <w:rsid w:val="00AF3198"/>
    <w:rsid w:val="00AF3959"/>
    <w:rsid w:val="00AF4217"/>
    <w:rsid w:val="00AF4B9E"/>
    <w:rsid w:val="00AF4BE6"/>
    <w:rsid w:val="00AF4DA0"/>
    <w:rsid w:val="00AF4E4D"/>
    <w:rsid w:val="00AF60CC"/>
    <w:rsid w:val="00AF62DB"/>
    <w:rsid w:val="00AF6C02"/>
    <w:rsid w:val="00AF74D0"/>
    <w:rsid w:val="00B00D17"/>
    <w:rsid w:val="00B0225A"/>
    <w:rsid w:val="00B02CD6"/>
    <w:rsid w:val="00B03719"/>
    <w:rsid w:val="00B03A2F"/>
    <w:rsid w:val="00B04B57"/>
    <w:rsid w:val="00B06300"/>
    <w:rsid w:val="00B07771"/>
    <w:rsid w:val="00B07F55"/>
    <w:rsid w:val="00B10843"/>
    <w:rsid w:val="00B11210"/>
    <w:rsid w:val="00B119A6"/>
    <w:rsid w:val="00B123C0"/>
    <w:rsid w:val="00B14E06"/>
    <w:rsid w:val="00B16172"/>
    <w:rsid w:val="00B17064"/>
    <w:rsid w:val="00B17EAD"/>
    <w:rsid w:val="00B17F3E"/>
    <w:rsid w:val="00B2026A"/>
    <w:rsid w:val="00B2046A"/>
    <w:rsid w:val="00B2231F"/>
    <w:rsid w:val="00B2291C"/>
    <w:rsid w:val="00B240A0"/>
    <w:rsid w:val="00B2436E"/>
    <w:rsid w:val="00B24EE6"/>
    <w:rsid w:val="00B267F6"/>
    <w:rsid w:val="00B277BE"/>
    <w:rsid w:val="00B27B6F"/>
    <w:rsid w:val="00B31780"/>
    <w:rsid w:val="00B32097"/>
    <w:rsid w:val="00B378D2"/>
    <w:rsid w:val="00B37F9B"/>
    <w:rsid w:val="00B40D55"/>
    <w:rsid w:val="00B41DD2"/>
    <w:rsid w:val="00B4239B"/>
    <w:rsid w:val="00B42486"/>
    <w:rsid w:val="00B42D4E"/>
    <w:rsid w:val="00B42D97"/>
    <w:rsid w:val="00B44481"/>
    <w:rsid w:val="00B454C2"/>
    <w:rsid w:val="00B4787A"/>
    <w:rsid w:val="00B501F1"/>
    <w:rsid w:val="00B50493"/>
    <w:rsid w:val="00B50516"/>
    <w:rsid w:val="00B5184A"/>
    <w:rsid w:val="00B51B07"/>
    <w:rsid w:val="00B52B4F"/>
    <w:rsid w:val="00B52CBB"/>
    <w:rsid w:val="00B532EF"/>
    <w:rsid w:val="00B53A62"/>
    <w:rsid w:val="00B55962"/>
    <w:rsid w:val="00B55F8F"/>
    <w:rsid w:val="00B57024"/>
    <w:rsid w:val="00B570B4"/>
    <w:rsid w:val="00B5755F"/>
    <w:rsid w:val="00B57B91"/>
    <w:rsid w:val="00B600B9"/>
    <w:rsid w:val="00B60230"/>
    <w:rsid w:val="00B60E73"/>
    <w:rsid w:val="00B617C5"/>
    <w:rsid w:val="00B6267B"/>
    <w:rsid w:val="00B64189"/>
    <w:rsid w:val="00B6466C"/>
    <w:rsid w:val="00B64B82"/>
    <w:rsid w:val="00B66589"/>
    <w:rsid w:val="00B668B8"/>
    <w:rsid w:val="00B66A07"/>
    <w:rsid w:val="00B678B6"/>
    <w:rsid w:val="00B67AA2"/>
    <w:rsid w:val="00B70263"/>
    <w:rsid w:val="00B70C16"/>
    <w:rsid w:val="00B71E60"/>
    <w:rsid w:val="00B71F34"/>
    <w:rsid w:val="00B72D25"/>
    <w:rsid w:val="00B730BD"/>
    <w:rsid w:val="00B73A03"/>
    <w:rsid w:val="00B73EE5"/>
    <w:rsid w:val="00B7515A"/>
    <w:rsid w:val="00B7542D"/>
    <w:rsid w:val="00B75FE5"/>
    <w:rsid w:val="00B763CC"/>
    <w:rsid w:val="00B7780E"/>
    <w:rsid w:val="00B8269A"/>
    <w:rsid w:val="00B83C14"/>
    <w:rsid w:val="00B841E3"/>
    <w:rsid w:val="00B8597F"/>
    <w:rsid w:val="00B8674C"/>
    <w:rsid w:val="00B86EBD"/>
    <w:rsid w:val="00B90378"/>
    <w:rsid w:val="00B90A53"/>
    <w:rsid w:val="00B90BC5"/>
    <w:rsid w:val="00B91788"/>
    <w:rsid w:val="00B91B8E"/>
    <w:rsid w:val="00B9263E"/>
    <w:rsid w:val="00B9355B"/>
    <w:rsid w:val="00B93DB1"/>
    <w:rsid w:val="00B94BE2"/>
    <w:rsid w:val="00B94E84"/>
    <w:rsid w:val="00B953B5"/>
    <w:rsid w:val="00B95DC1"/>
    <w:rsid w:val="00BA07A1"/>
    <w:rsid w:val="00BA15F2"/>
    <w:rsid w:val="00BA1C69"/>
    <w:rsid w:val="00BA1D3C"/>
    <w:rsid w:val="00BA4FF0"/>
    <w:rsid w:val="00BA5172"/>
    <w:rsid w:val="00BA54E1"/>
    <w:rsid w:val="00BA5682"/>
    <w:rsid w:val="00BA74ED"/>
    <w:rsid w:val="00BA792C"/>
    <w:rsid w:val="00BB1282"/>
    <w:rsid w:val="00BB1F6A"/>
    <w:rsid w:val="00BB25A8"/>
    <w:rsid w:val="00BB2890"/>
    <w:rsid w:val="00BB29A2"/>
    <w:rsid w:val="00BB2B9F"/>
    <w:rsid w:val="00BB3C57"/>
    <w:rsid w:val="00BB5A07"/>
    <w:rsid w:val="00BB617C"/>
    <w:rsid w:val="00BB7D7D"/>
    <w:rsid w:val="00BC09FA"/>
    <w:rsid w:val="00BC0D59"/>
    <w:rsid w:val="00BC0F16"/>
    <w:rsid w:val="00BC11F1"/>
    <w:rsid w:val="00BC30E9"/>
    <w:rsid w:val="00BC328D"/>
    <w:rsid w:val="00BC4A79"/>
    <w:rsid w:val="00BC58C4"/>
    <w:rsid w:val="00BC5BB2"/>
    <w:rsid w:val="00BC64ED"/>
    <w:rsid w:val="00BC6A85"/>
    <w:rsid w:val="00BC7629"/>
    <w:rsid w:val="00BD1BFD"/>
    <w:rsid w:val="00BD2D7B"/>
    <w:rsid w:val="00BD35A0"/>
    <w:rsid w:val="00BD4236"/>
    <w:rsid w:val="00BD4A99"/>
    <w:rsid w:val="00BD51E3"/>
    <w:rsid w:val="00BD57E6"/>
    <w:rsid w:val="00BD5A36"/>
    <w:rsid w:val="00BD5A9B"/>
    <w:rsid w:val="00BD5C08"/>
    <w:rsid w:val="00BD6CC7"/>
    <w:rsid w:val="00BD746D"/>
    <w:rsid w:val="00BE3CCC"/>
    <w:rsid w:val="00BE5D92"/>
    <w:rsid w:val="00BE5FDE"/>
    <w:rsid w:val="00BE756F"/>
    <w:rsid w:val="00BF0552"/>
    <w:rsid w:val="00BF1C64"/>
    <w:rsid w:val="00BF2DF5"/>
    <w:rsid w:val="00BF34C8"/>
    <w:rsid w:val="00BF46BA"/>
    <w:rsid w:val="00BF5BDE"/>
    <w:rsid w:val="00BF5FF4"/>
    <w:rsid w:val="00BF6048"/>
    <w:rsid w:val="00BF6585"/>
    <w:rsid w:val="00BF6742"/>
    <w:rsid w:val="00BF67C5"/>
    <w:rsid w:val="00BF7923"/>
    <w:rsid w:val="00BF7D94"/>
    <w:rsid w:val="00BF7F15"/>
    <w:rsid w:val="00C00098"/>
    <w:rsid w:val="00C014A6"/>
    <w:rsid w:val="00C01CFA"/>
    <w:rsid w:val="00C01E43"/>
    <w:rsid w:val="00C02CF3"/>
    <w:rsid w:val="00C03972"/>
    <w:rsid w:val="00C04E29"/>
    <w:rsid w:val="00C05167"/>
    <w:rsid w:val="00C05201"/>
    <w:rsid w:val="00C05ACF"/>
    <w:rsid w:val="00C07FE5"/>
    <w:rsid w:val="00C10A42"/>
    <w:rsid w:val="00C11397"/>
    <w:rsid w:val="00C113F5"/>
    <w:rsid w:val="00C114AC"/>
    <w:rsid w:val="00C11BC3"/>
    <w:rsid w:val="00C120E5"/>
    <w:rsid w:val="00C1270D"/>
    <w:rsid w:val="00C12D8D"/>
    <w:rsid w:val="00C13970"/>
    <w:rsid w:val="00C15949"/>
    <w:rsid w:val="00C15D48"/>
    <w:rsid w:val="00C16107"/>
    <w:rsid w:val="00C16CD0"/>
    <w:rsid w:val="00C21A7D"/>
    <w:rsid w:val="00C229C2"/>
    <w:rsid w:val="00C24050"/>
    <w:rsid w:val="00C245F9"/>
    <w:rsid w:val="00C24A77"/>
    <w:rsid w:val="00C25049"/>
    <w:rsid w:val="00C25ED7"/>
    <w:rsid w:val="00C27132"/>
    <w:rsid w:val="00C27527"/>
    <w:rsid w:val="00C27ADC"/>
    <w:rsid w:val="00C30A24"/>
    <w:rsid w:val="00C30A41"/>
    <w:rsid w:val="00C3186C"/>
    <w:rsid w:val="00C31CF7"/>
    <w:rsid w:val="00C323FB"/>
    <w:rsid w:val="00C33881"/>
    <w:rsid w:val="00C33BCD"/>
    <w:rsid w:val="00C34B0C"/>
    <w:rsid w:val="00C34D57"/>
    <w:rsid w:val="00C358C1"/>
    <w:rsid w:val="00C358F3"/>
    <w:rsid w:val="00C35E33"/>
    <w:rsid w:val="00C35F27"/>
    <w:rsid w:val="00C4014C"/>
    <w:rsid w:val="00C402C6"/>
    <w:rsid w:val="00C40384"/>
    <w:rsid w:val="00C40D59"/>
    <w:rsid w:val="00C41372"/>
    <w:rsid w:val="00C427FE"/>
    <w:rsid w:val="00C439A2"/>
    <w:rsid w:val="00C43E7C"/>
    <w:rsid w:val="00C44DB6"/>
    <w:rsid w:val="00C45827"/>
    <w:rsid w:val="00C4587B"/>
    <w:rsid w:val="00C462E3"/>
    <w:rsid w:val="00C47EFB"/>
    <w:rsid w:val="00C50D53"/>
    <w:rsid w:val="00C532C4"/>
    <w:rsid w:val="00C5524B"/>
    <w:rsid w:val="00C568F2"/>
    <w:rsid w:val="00C57E47"/>
    <w:rsid w:val="00C62B32"/>
    <w:rsid w:val="00C63216"/>
    <w:rsid w:val="00C63317"/>
    <w:rsid w:val="00C64F2B"/>
    <w:rsid w:val="00C659C9"/>
    <w:rsid w:val="00C67530"/>
    <w:rsid w:val="00C70689"/>
    <w:rsid w:val="00C708D3"/>
    <w:rsid w:val="00C7117C"/>
    <w:rsid w:val="00C71ADA"/>
    <w:rsid w:val="00C72B1B"/>
    <w:rsid w:val="00C7435C"/>
    <w:rsid w:val="00C774F0"/>
    <w:rsid w:val="00C77B8B"/>
    <w:rsid w:val="00C77FDB"/>
    <w:rsid w:val="00C805E2"/>
    <w:rsid w:val="00C808FB"/>
    <w:rsid w:val="00C80C2D"/>
    <w:rsid w:val="00C80D4B"/>
    <w:rsid w:val="00C8133A"/>
    <w:rsid w:val="00C81695"/>
    <w:rsid w:val="00C82357"/>
    <w:rsid w:val="00C83709"/>
    <w:rsid w:val="00C84292"/>
    <w:rsid w:val="00C85391"/>
    <w:rsid w:val="00C861B4"/>
    <w:rsid w:val="00C870ED"/>
    <w:rsid w:val="00C90BFF"/>
    <w:rsid w:val="00C912FA"/>
    <w:rsid w:val="00C919D9"/>
    <w:rsid w:val="00C92796"/>
    <w:rsid w:val="00C93610"/>
    <w:rsid w:val="00C93F1E"/>
    <w:rsid w:val="00C93F3B"/>
    <w:rsid w:val="00C944BC"/>
    <w:rsid w:val="00C94AA6"/>
    <w:rsid w:val="00C96762"/>
    <w:rsid w:val="00C96F59"/>
    <w:rsid w:val="00C9750E"/>
    <w:rsid w:val="00CA1253"/>
    <w:rsid w:val="00CA20C2"/>
    <w:rsid w:val="00CA2738"/>
    <w:rsid w:val="00CA2FD7"/>
    <w:rsid w:val="00CA3C88"/>
    <w:rsid w:val="00CA556D"/>
    <w:rsid w:val="00CA56BF"/>
    <w:rsid w:val="00CA5D31"/>
    <w:rsid w:val="00CA6E4A"/>
    <w:rsid w:val="00CB0AB4"/>
    <w:rsid w:val="00CB0D47"/>
    <w:rsid w:val="00CB2C06"/>
    <w:rsid w:val="00CB2DC8"/>
    <w:rsid w:val="00CB3285"/>
    <w:rsid w:val="00CB3837"/>
    <w:rsid w:val="00CB4788"/>
    <w:rsid w:val="00CB5316"/>
    <w:rsid w:val="00CB5686"/>
    <w:rsid w:val="00CB6AC2"/>
    <w:rsid w:val="00CB7AFD"/>
    <w:rsid w:val="00CC00B2"/>
    <w:rsid w:val="00CC06EA"/>
    <w:rsid w:val="00CC11C8"/>
    <w:rsid w:val="00CC1DCD"/>
    <w:rsid w:val="00CC2C28"/>
    <w:rsid w:val="00CC2DA7"/>
    <w:rsid w:val="00CC3DA7"/>
    <w:rsid w:val="00CC4998"/>
    <w:rsid w:val="00CC4A4E"/>
    <w:rsid w:val="00CC4EAD"/>
    <w:rsid w:val="00CC5AE4"/>
    <w:rsid w:val="00CC68FA"/>
    <w:rsid w:val="00CC6D35"/>
    <w:rsid w:val="00CC7F1D"/>
    <w:rsid w:val="00CD3C90"/>
    <w:rsid w:val="00CD447F"/>
    <w:rsid w:val="00CD4B1D"/>
    <w:rsid w:val="00CD6E73"/>
    <w:rsid w:val="00CE0156"/>
    <w:rsid w:val="00CE0CAE"/>
    <w:rsid w:val="00CE11C2"/>
    <w:rsid w:val="00CE2284"/>
    <w:rsid w:val="00CE2F9C"/>
    <w:rsid w:val="00CE3E03"/>
    <w:rsid w:val="00CE462E"/>
    <w:rsid w:val="00CE47B8"/>
    <w:rsid w:val="00CE48F2"/>
    <w:rsid w:val="00CE4B22"/>
    <w:rsid w:val="00CE59A1"/>
    <w:rsid w:val="00CE671C"/>
    <w:rsid w:val="00CE7198"/>
    <w:rsid w:val="00CE71B9"/>
    <w:rsid w:val="00CE791C"/>
    <w:rsid w:val="00CF0D8A"/>
    <w:rsid w:val="00CF2435"/>
    <w:rsid w:val="00CF303C"/>
    <w:rsid w:val="00CF3DE7"/>
    <w:rsid w:val="00CF422C"/>
    <w:rsid w:val="00CF47D8"/>
    <w:rsid w:val="00CF4BD5"/>
    <w:rsid w:val="00CF516C"/>
    <w:rsid w:val="00CF6205"/>
    <w:rsid w:val="00D00758"/>
    <w:rsid w:val="00D013AD"/>
    <w:rsid w:val="00D01A7D"/>
    <w:rsid w:val="00D02A41"/>
    <w:rsid w:val="00D02A54"/>
    <w:rsid w:val="00D03B51"/>
    <w:rsid w:val="00D045DA"/>
    <w:rsid w:val="00D045E9"/>
    <w:rsid w:val="00D04B7D"/>
    <w:rsid w:val="00D063B6"/>
    <w:rsid w:val="00D06D5B"/>
    <w:rsid w:val="00D077D0"/>
    <w:rsid w:val="00D103C4"/>
    <w:rsid w:val="00D11A5A"/>
    <w:rsid w:val="00D128F9"/>
    <w:rsid w:val="00D149B0"/>
    <w:rsid w:val="00D15B4E"/>
    <w:rsid w:val="00D16322"/>
    <w:rsid w:val="00D16E9D"/>
    <w:rsid w:val="00D201D5"/>
    <w:rsid w:val="00D203D8"/>
    <w:rsid w:val="00D2108A"/>
    <w:rsid w:val="00D21442"/>
    <w:rsid w:val="00D21468"/>
    <w:rsid w:val="00D215E8"/>
    <w:rsid w:val="00D216E5"/>
    <w:rsid w:val="00D21E7C"/>
    <w:rsid w:val="00D22FAB"/>
    <w:rsid w:val="00D24118"/>
    <w:rsid w:val="00D24CAD"/>
    <w:rsid w:val="00D24D4E"/>
    <w:rsid w:val="00D26376"/>
    <w:rsid w:val="00D30E8E"/>
    <w:rsid w:val="00D3154A"/>
    <w:rsid w:val="00D32039"/>
    <w:rsid w:val="00D33332"/>
    <w:rsid w:val="00D3444C"/>
    <w:rsid w:val="00D35BD5"/>
    <w:rsid w:val="00D360E4"/>
    <w:rsid w:val="00D41BC3"/>
    <w:rsid w:val="00D4275E"/>
    <w:rsid w:val="00D43008"/>
    <w:rsid w:val="00D44F4B"/>
    <w:rsid w:val="00D4619A"/>
    <w:rsid w:val="00D464A9"/>
    <w:rsid w:val="00D46DFC"/>
    <w:rsid w:val="00D4790C"/>
    <w:rsid w:val="00D47CA1"/>
    <w:rsid w:val="00D508B2"/>
    <w:rsid w:val="00D515AE"/>
    <w:rsid w:val="00D51934"/>
    <w:rsid w:val="00D529FA"/>
    <w:rsid w:val="00D52CA1"/>
    <w:rsid w:val="00D53929"/>
    <w:rsid w:val="00D53DC4"/>
    <w:rsid w:val="00D57827"/>
    <w:rsid w:val="00D627DA"/>
    <w:rsid w:val="00D62F0D"/>
    <w:rsid w:val="00D63A11"/>
    <w:rsid w:val="00D63B82"/>
    <w:rsid w:val="00D6440C"/>
    <w:rsid w:val="00D64704"/>
    <w:rsid w:val="00D64E18"/>
    <w:rsid w:val="00D64F5C"/>
    <w:rsid w:val="00D65ABE"/>
    <w:rsid w:val="00D67DB8"/>
    <w:rsid w:val="00D7006C"/>
    <w:rsid w:val="00D70762"/>
    <w:rsid w:val="00D70A32"/>
    <w:rsid w:val="00D72B3E"/>
    <w:rsid w:val="00D7523E"/>
    <w:rsid w:val="00D76460"/>
    <w:rsid w:val="00D76494"/>
    <w:rsid w:val="00D76D05"/>
    <w:rsid w:val="00D77C94"/>
    <w:rsid w:val="00D80C1E"/>
    <w:rsid w:val="00D81711"/>
    <w:rsid w:val="00D81A0E"/>
    <w:rsid w:val="00D84D50"/>
    <w:rsid w:val="00D86AE8"/>
    <w:rsid w:val="00D86D56"/>
    <w:rsid w:val="00D90D74"/>
    <w:rsid w:val="00D9176D"/>
    <w:rsid w:val="00D91BA2"/>
    <w:rsid w:val="00D91EDC"/>
    <w:rsid w:val="00D9222B"/>
    <w:rsid w:val="00D92EAC"/>
    <w:rsid w:val="00D9368F"/>
    <w:rsid w:val="00D94C49"/>
    <w:rsid w:val="00D954A5"/>
    <w:rsid w:val="00D97AD0"/>
    <w:rsid w:val="00D97C42"/>
    <w:rsid w:val="00DA0B28"/>
    <w:rsid w:val="00DA1A4B"/>
    <w:rsid w:val="00DA1A50"/>
    <w:rsid w:val="00DA1B73"/>
    <w:rsid w:val="00DA1D9E"/>
    <w:rsid w:val="00DA27FE"/>
    <w:rsid w:val="00DA2B33"/>
    <w:rsid w:val="00DA3663"/>
    <w:rsid w:val="00DA4518"/>
    <w:rsid w:val="00DA455E"/>
    <w:rsid w:val="00DA4E9F"/>
    <w:rsid w:val="00DA563F"/>
    <w:rsid w:val="00DA5C31"/>
    <w:rsid w:val="00DA5C49"/>
    <w:rsid w:val="00DA644B"/>
    <w:rsid w:val="00DA72D8"/>
    <w:rsid w:val="00DA7792"/>
    <w:rsid w:val="00DB118D"/>
    <w:rsid w:val="00DB14B0"/>
    <w:rsid w:val="00DB1CE9"/>
    <w:rsid w:val="00DB3508"/>
    <w:rsid w:val="00DB3F42"/>
    <w:rsid w:val="00DB48B1"/>
    <w:rsid w:val="00DB59BC"/>
    <w:rsid w:val="00DB5E35"/>
    <w:rsid w:val="00DB76D5"/>
    <w:rsid w:val="00DC04D4"/>
    <w:rsid w:val="00DC0FCC"/>
    <w:rsid w:val="00DC1432"/>
    <w:rsid w:val="00DC1D0C"/>
    <w:rsid w:val="00DC2374"/>
    <w:rsid w:val="00DC2619"/>
    <w:rsid w:val="00DC32C7"/>
    <w:rsid w:val="00DC3312"/>
    <w:rsid w:val="00DC4DCA"/>
    <w:rsid w:val="00DC50CE"/>
    <w:rsid w:val="00DC6445"/>
    <w:rsid w:val="00DC735F"/>
    <w:rsid w:val="00DC7445"/>
    <w:rsid w:val="00DC77DC"/>
    <w:rsid w:val="00DD0C45"/>
    <w:rsid w:val="00DD1835"/>
    <w:rsid w:val="00DD34F5"/>
    <w:rsid w:val="00DD3773"/>
    <w:rsid w:val="00DD5196"/>
    <w:rsid w:val="00DD56B6"/>
    <w:rsid w:val="00DD6347"/>
    <w:rsid w:val="00DD7F1A"/>
    <w:rsid w:val="00DE00F3"/>
    <w:rsid w:val="00DE0207"/>
    <w:rsid w:val="00DE0F80"/>
    <w:rsid w:val="00DE1042"/>
    <w:rsid w:val="00DE1678"/>
    <w:rsid w:val="00DE2C62"/>
    <w:rsid w:val="00DE2ECA"/>
    <w:rsid w:val="00DE42F8"/>
    <w:rsid w:val="00DE4D04"/>
    <w:rsid w:val="00DE588A"/>
    <w:rsid w:val="00DE60EC"/>
    <w:rsid w:val="00DE6CB4"/>
    <w:rsid w:val="00DE6E47"/>
    <w:rsid w:val="00DE7C9D"/>
    <w:rsid w:val="00DE7F42"/>
    <w:rsid w:val="00DF36B6"/>
    <w:rsid w:val="00DF59C8"/>
    <w:rsid w:val="00DF6069"/>
    <w:rsid w:val="00DF62F3"/>
    <w:rsid w:val="00DF7710"/>
    <w:rsid w:val="00E015A4"/>
    <w:rsid w:val="00E01EED"/>
    <w:rsid w:val="00E03F1F"/>
    <w:rsid w:val="00E05206"/>
    <w:rsid w:val="00E05A33"/>
    <w:rsid w:val="00E05CD6"/>
    <w:rsid w:val="00E05EAC"/>
    <w:rsid w:val="00E064F7"/>
    <w:rsid w:val="00E06D62"/>
    <w:rsid w:val="00E071EA"/>
    <w:rsid w:val="00E10A2B"/>
    <w:rsid w:val="00E10FBE"/>
    <w:rsid w:val="00E1123F"/>
    <w:rsid w:val="00E11D09"/>
    <w:rsid w:val="00E12016"/>
    <w:rsid w:val="00E12761"/>
    <w:rsid w:val="00E12E1D"/>
    <w:rsid w:val="00E12E9B"/>
    <w:rsid w:val="00E139BF"/>
    <w:rsid w:val="00E1613D"/>
    <w:rsid w:val="00E170FE"/>
    <w:rsid w:val="00E201F2"/>
    <w:rsid w:val="00E2096D"/>
    <w:rsid w:val="00E21178"/>
    <w:rsid w:val="00E21436"/>
    <w:rsid w:val="00E21549"/>
    <w:rsid w:val="00E22218"/>
    <w:rsid w:val="00E229F2"/>
    <w:rsid w:val="00E23A9F"/>
    <w:rsid w:val="00E2439D"/>
    <w:rsid w:val="00E24BA1"/>
    <w:rsid w:val="00E25653"/>
    <w:rsid w:val="00E26353"/>
    <w:rsid w:val="00E27FE7"/>
    <w:rsid w:val="00E302C8"/>
    <w:rsid w:val="00E3096A"/>
    <w:rsid w:val="00E3139F"/>
    <w:rsid w:val="00E31D41"/>
    <w:rsid w:val="00E3222B"/>
    <w:rsid w:val="00E323B4"/>
    <w:rsid w:val="00E32E59"/>
    <w:rsid w:val="00E3366A"/>
    <w:rsid w:val="00E33A6B"/>
    <w:rsid w:val="00E35FC9"/>
    <w:rsid w:val="00E361EF"/>
    <w:rsid w:val="00E36973"/>
    <w:rsid w:val="00E36B8D"/>
    <w:rsid w:val="00E36FD3"/>
    <w:rsid w:val="00E404CC"/>
    <w:rsid w:val="00E40D75"/>
    <w:rsid w:val="00E41DFD"/>
    <w:rsid w:val="00E42ED9"/>
    <w:rsid w:val="00E42F62"/>
    <w:rsid w:val="00E43E4D"/>
    <w:rsid w:val="00E447D9"/>
    <w:rsid w:val="00E44BB9"/>
    <w:rsid w:val="00E44F84"/>
    <w:rsid w:val="00E45AA0"/>
    <w:rsid w:val="00E463CE"/>
    <w:rsid w:val="00E46ADF"/>
    <w:rsid w:val="00E46F78"/>
    <w:rsid w:val="00E4798D"/>
    <w:rsid w:val="00E47C71"/>
    <w:rsid w:val="00E51AF8"/>
    <w:rsid w:val="00E53B3E"/>
    <w:rsid w:val="00E544D7"/>
    <w:rsid w:val="00E54BA5"/>
    <w:rsid w:val="00E558E0"/>
    <w:rsid w:val="00E55AF5"/>
    <w:rsid w:val="00E56A76"/>
    <w:rsid w:val="00E60113"/>
    <w:rsid w:val="00E61685"/>
    <w:rsid w:val="00E61F6D"/>
    <w:rsid w:val="00E6228B"/>
    <w:rsid w:val="00E6273B"/>
    <w:rsid w:val="00E63C96"/>
    <w:rsid w:val="00E63EF7"/>
    <w:rsid w:val="00E666B6"/>
    <w:rsid w:val="00E66F49"/>
    <w:rsid w:val="00E67373"/>
    <w:rsid w:val="00E70BCD"/>
    <w:rsid w:val="00E71542"/>
    <w:rsid w:val="00E72239"/>
    <w:rsid w:val="00E725ED"/>
    <w:rsid w:val="00E74289"/>
    <w:rsid w:val="00E755E5"/>
    <w:rsid w:val="00E76BCF"/>
    <w:rsid w:val="00E81F41"/>
    <w:rsid w:val="00E81F6C"/>
    <w:rsid w:val="00E82115"/>
    <w:rsid w:val="00E821C7"/>
    <w:rsid w:val="00E82967"/>
    <w:rsid w:val="00E83560"/>
    <w:rsid w:val="00E84645"/>
    <w:rsid w:val="00E84AE3"/>
    <w:rsid w:val="00E85334"/>
    <w:rsid w:val="00E85E02"/>
    <w:rsid w:val="00E86598"/>
    <w:rsid w:val="00E90E93"/>
    <w:rsid w:val="00E9250D"/>
    <w:rsid w:val="00E92669"/>
    <w:rsid w:val="00E92EB2"/>
    <w:rsid w:val="00E94903"/>
    <w:rsid w:val="00E94D5F"/>
    <w:rsid w:val="00E9586F"/>
    <w:rsid w:val="00E96EC3"/>
    <w:rsid w:val="00E971E2"/>
    <w:rsid w:val="00EA0297"/>
    <w:rsid w:val="00EA0AE1"/>
    <w:rsid w:val="00EA1753"/>
    <w:rsid w:val="00EA25E4"/>
    <w:rsid w:val="00EA2716"/>
    <w:rsid w:val="00EA2E1E"/>
    <w:rsid w:val="00EA3F43"/>
    <w:rsid w:val="00EA5A3F"/>
    <w:rsid w:val="00EA5BE7"/>
    <w:rsid w:val="00EA6A2A"/>
    <w:rsid w:val="00EB0A96"/>
    <w:rsid w:val="00EB21AB"/>
    <w:rsid w:val="00EB2A0E"/>
    <w:rsid w:val="00EB2DEF"/>
    <w:rsid w:val="00EB2E51"/>
    <w:rsid w:val="00EB323C"/>
    <w:rsid w:val="00EB3AB1"/>
    <w:rsid w:val="00EB4E6E"/>
    <w:rsid w:val="00EB57F0"/>
    <w:rsid w:val="00EB5DD2"/>
    <w:rsid w:val="00EB6DEA"/>
    <w:rsid w:val="00EB7387"/>
    <w:rsid w:val="00EB7694"/>
    <w:rsid w:val="00EB7B7C"/>
    <w:rsid w:val="00EC1134"/>
    <w:rsid w:val="00EC428F"/>
    <w:rsid w:val="00EC6236"/>
    <w:rsid w:val="00EC6F37"/>
    <w:rsid w:val="00EC7587"/>
    <w:rsid w:val="00EC7597"/>
    <w:rsid w:val="00EC7D05"/>
    <w:rsid w:val="00ED1902"/>
    <w:rsid w:val="00ED2F27"/>
    <w:rsid w:val="00ED309A"/>
    <w:rsid w:val="00ED38D4"/>
    <w:rsid w:val="00ED3DEA"/>
    <w:rsid w:val="00ED3FF9"/>
    <w:rsid w:val="00ED4054"/>
    <w:rsid w:val="00ED5FAA"/>
    <w:rsid w:val="00ED6036"/>
    <w:rsid w:val="00ED6BAC"/>
    <w:rsid w:val="00ED6D67"/>
    <w:rsid w:val="00ED6F7A"/>
    <w:rsid w:val="00ED702A"/>
    <w:rsid w:val="00EE0993"/>
    <w:rsid w:val="00EE1132"/>
    <w:rsid w:val="00EE289B"/>
    <w:rsid w:val="00EE2C4A"/>
    <w:rsid w:val="00EE349A"/>
    <w:rsid w:val="00EE4A5C"/>
    <w:rsid w:val="00EE5210"/>
    <w:rsid w:val="00EE54B3"/>
    <w:rsid w:val="00EE6028"/>
    <w:rsid w:val="00EE668F"/>
    <w:rsid w:val="00EE78B4"/>
    <w:rsid w:val="00EF0072"/>
    <w:rsid w:val="00EF04D0"/>
    <w:rsid w:val="00EF224A"/>
    <w:rsid w:val="00EF3401"/>
    <w:rsid w:val="00EF5B97"/>
    <w:rsid w:val="00EF678C"/>
    <w:rsid w:val="00F0086A"/>
    <w:rsid w:val="00F00E52"/>
    <w:rsid w:val="00F048A6"/>
    <w:rsid w:val="00F05B00"/>
    <w:rsid w:val="00F05CD5"/>
    <w:rsid w:val="00F06187"/>
    <w:rsid w:val="00F10074"/>
    <w:rsid w:val="00F100D9"/>
    <w:rsid w:val="00F102E0"/>
    <w:rsid w:val="00F10F1F"/>
    <w:rsid w:val="00F116E5"/>
    <w:rsid w:val="00F1468A"/>
    <w:rsid w:val="00F152EA"/>
    <w:rsid w:val="00F16D2A"/>
    <w:rsid w:val="00F17588"/>
    <w:rsid w:val="00F20963"/>
    <w:rsid w:val="00F212FC"/>
    <w:rsid w:val="00F21A47"/>
    <w:rsid w:val="00F23196"/>
    <w:rsid w:val="00F23433"/>
    <w:rsid w:val="00F23456"/>
    <w:rsid w:val="00F23B1F"/>
    <w:rsid w:val="00F24344"/>
    <w:rsid w:val="00F27119"/>
    <w:rsid w:val="00F30DC9"/>
    <w:rsid w:val="00F30DF6"/>
    <w:rsid w:val="00F339F4"/>
    <w:rsid w:val="00F37DFA"/>
    <w:rsid w:val="00F40041"/>
    <w:rsid w:val="00F40096"/>
    <w:rsid w:val="00F4010D"/>
    <w:rsid w:val="00F4115B"/>
    <w:rsid w:val="00F41691"/>
    <w:rsid w:val="00F4215E"/>
    <w:rsid w:val="00F43483"/>
    <w:rsid w:val="00F43489"/>
    <w:rsid w:val="00F43C35"/>
    <w:rsid w:val="00F43FF4"/>
    <w:rsid w:val="00F44591"/>
    <w:rsid w:val="00F44612"/>
    <w:rsid w:val="00F44FEF"/>
    <w:rsid w:val="00F45A2E"/>
    <w:rsid w:val="00F45F4A"/>
    <w:rsid w:val="00F46D36"/>
    <w:rsid w:val="00F47165"/>
    <w:rsid w:val="00F473D8"/>
    <w:rsid w:val="00F473DC"/>
    <w:rsid w:val="00F50840"/>
    <w:rsid w:val="00F51571"/>
    <w:rsid w:val="00F517EF"/>
    <w:rsid w:val="00F53857"/>
    <w:rsid w:val="00F54527"/>
    <w:rsid w:val="00F546C6"/>
    <w:rsid w:val="00F54FFE"/>
    <w:rsid w:val="00F552AA"/>
    <w:rsid w:val="00F553DF"/>
    <w:rsid w:val="00F554BC"/>
    <w:rsid w:val="00F5705E"/>
    <w:rsid w:val="00F571F0"/>
    <w:rsid w:val="00F603A5"/>
    <w:rsid w:val="00F609D2"/>
    <w:rsid w:val="00F61161"/>
    <w:rsid w:val="00F63B02"/>
    <w:rsid w:val="00F63F4D"/>
    <w:rsid w:val="00F64CAE"/>
    <w:rsid w:val="00F656A9"/>
    <w:rsid w:val="00F6693B"/>
    <w:rsid w:val="00F67153"/>
    <w:rsid w:val="00F67529"/>
    <w:rsid w:val="00F71907"/>
    <w:rsid w:val="00F72360"/>
    <w:rsid w:val="00F739C1"/>
    <w:rsid w:val="00F73B3C"/>
    <w:rsid w:val="00F7499B"/>
    <w:rsid w:val="00F76BF6"/>
    <w:rsid w:val="00F76BF8"/>
    <w:rsid w:val="00F77028"/>
    <w:rsid w:val="00F81C87"/>
    <w:rsid w:val="00F82094"/>
    <w:rsid w:val="00F82C99"/>
    <w:rsid w:val="00F8470C"/>
    <w:rsid w:val="00F85257"/>
    <w:rsid w:val="00F8588E"/>
    <w:rsid w:val="00F85913"/>
    <w:rsid w:val="00F85AA5"/>
    <w:rsid w:val="00F85C06"/>
    <w:rsid w:val="00F86326"/>
    <w:rsid w:val="00F864CC"/>
    <w:rsid w:val="00F86D72"/>
    <w:rsid w:val="00F901A9"/>
    <w:rsid w:val="00F9098E"/>
    <w:rsid w:val="00F90BE8"/>
    <w:rsid w:val="00F90E8C"/>
    <w:rsid w:val="00F91B65"/>
    <w:rsid w:val="00F92798"/>
    <w:rsid w:val="00F93927"/>
    <w:rsid w:val="00F95ACC"/>
    <w:rsid w:val="00F95E87"/>
    <w:rsid w:val="00F9657E"/>
    <w:rsid w:val="00F97681"/>
    <w:rsid w:val="00F9771B"/>
    <w:rsid w:val="00F97B29"/>
    <w:rsid w:val="00FA1E1D"/>
    <w:rsid w:val="00FA2E52"/>
    <w:rsid w:val="00FA3735"/>
    <w:rsid w:val="00FA450F"/>
    <w:rsid w:val="00FA64AD"/>
    <w:rsid w:val="00FA71E3"/>
    <w:rsid w:val="00FA7D77"/>
    <w:rsid w:val="00FB107D"/>
    <w:rsid w:val="00FB1842"/>
    <w:rsid w:val="00FB1846"/>
    <w:rsid w:val="00FB1906"/>
    <w:rsid w:val="00FB27DA"/>
    <w:rsid w:val="00FB3F1D"/>
    <w:rsid w:val="00FB51E2"/>
    <w:rsid w:val="00FB6533"/>
    <w:rsid w:val="00FB69D0"/>
    <w:rsid w:val="00FB6E8A"/>
    <w:rsid w:val="00FC0515"/>
    <w:rsid w:val="00FC077A"/>
    <w:rsid w:val="00FC0A96"/>
    <w:rsid w:val="00FC0FDC"/>
    <w:rsid w:val="00FC198D"/>
    <w:rsid w:val="00FC36AB"/>
    <w:rsid w:val="00FC48C6"/>
    <w:rsid w:val="00FC6683"/>
    <w:rsid w:val="00FC7842"/>
    <w:rsid w:val="00FD0F28"/>
    <w:rsid w:val="00FD0F52"/>
    <w:rsid w:val="00FD22FC"/>
    <w:rsid w:val="00FD7B50"/>
    <w:rsid w:val="00FE4215"/>
    <w:rsid w:val="00FE428F"/>
    <w:rsid w:val="00FE47A0"/>
    <w:rsid w:val="00FE4A3A"/>
    <w:rsid w:val="00FE526E"/>
    <w:rsid w:val="00FE57E3"/>
    <w:rsid w:val="00FF1DCC"/>
    <w:rsid w:val="00FF2D3F"/>
    <w:rsid w:val="00FF2E94"/>
    <w:rsid w:val="00FF3A74"/>
    <w:rsid w:val="00FF4A7C"/>
    <w:rsid w:val="00FF4D31"/>
    <w:rsid w:val="00FF5D38"/>
    <w:rsid w:val="00FF639D"/>
    <w:rsid w:val="00FF6934"/>
    <w:rsid w:val="00FF694E"/>
    <w:rsid w:val="00FF6A5F"/>
    <w:rsid w:val="00FF6E10"/>
    <w:rsid w:val="00FF6F30"/>
    <w:rsid w:val="00FF7052"/>
    <w:rsid w:val="0E41F396"/>
    <w:rsid w:val="16F7447F"/>
    <w:rsid w:val="392682D4"/>
    <w:rsid w:val="6E5EF77A"/>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EEE3D"/>
  <w15:docId w15:val="{1F1ED795-A2D0-4310-8EC3-41EE75E1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B34"/>
    <w:pPr>
      <w:spacing w:after="0" w:line="240" w:lineRule="auto"/>
      <w:jc w:val="both"/>
    </w:pPr>
    <w:rPr>
      <w:rFonts w:ascii="Aptos" w:eastAsiaTheme="minorHAnsi" w:hAnsi="Aptos"/>
      <w:lang w:val="en-GB" w:bidi="ar-SA"/>
    </w:rPr>
  </w:style>
  <w:style w:type="paragraph" w:styleId="Heading1">
    <w:name w:val="heading 1"/>
    <w:basedOn w:val="Normal"/>
    <w:next w:val="Normal"/>
    <w:link w:val="Heading1Char"/>
    <w:qFormat/>
    <w:rsid w:val="009535ED"/>
    <w:pPr>
      <w:keepNext/>
      <w:jc w:val="center"/>
      <w:outlineLvl w:val="0"/>
    </w:pPr>
    <w:rPr>
      <w:b/>
      <w:color w:val="5B5590"/>
      <w:kern w:val="28"/>
      <w:sz w:val="40"/>
      <w:lang w:val="en-ZA"/>
    </w:rPr>
  </w:style>
  <w:style w:type="paragraph" w:styleId="Heading2">
    <w:name w:val="heading 2"/>
    <w:basedOn w:val="Normal"/>
    <w:next w:val="Normal"/>
    <w:link w:val="Heading2Char"/>
    <w:qFormat/>
    <w:rsid w:val="00345402"/>
    <w:pPr>
      <w:keepNext/>
      <w:numPr>
        <w:numId w:val="7"/>
      </w:numPr>
      <w:spacing w:before="480" w:after="240"/>
      <w:jc w:val="left"/>
      <w:outlineLvl w:val="1"/>
    </w:pPr>
    <w:rPr>
      <w:rFonts w:cs="Arial"/>
      <w:b/>
      <w:bCs/>
      <w:iCs/>
      <w:color w:val="5B5590"/>
      <w:sz w:val="32"/>
      <w:szCs w:val="32"/>
    </w:rPr>
  </w:style>
  <w:style w:type="paragraph" w:styleId="Heading3">
    <w:name w:val="heading 3"/>
    <w:basedOn w:val="Normal"/>
    <w:next w:val="Normal"/>
    <w:link w:val="Heading3Char"/>
    <w:qFormat/>
    <w:rsid w:val="009535ED"/>
    <w:pPr>
      <w:keepNext/>
      <w:numPr>
        <w:ilvl w:val="1"/>
        <w:numId w:val="7"/>
      </w:numPr>
      <w:spacing w:before="420" w:after="240"/>
      <w:jc w:val="left"/>
      <w:outlineLvl w:val="2"/>
    </w:pPr>
    <w:rPr>
      <w:b/>
      <w:color w:val="5B5590"/>
      <w:sz w:val="28"/>
      <w:szCs w:val="28"/>
      <w:lang w:val="en-ZA"/>
    </w:rPr>
  </w:style>
  <w:style w:type="paragraph" w:styleId="Heading4">
    <w:name w:val="heading 4"/>
    <w:basedOn w:val="Normal"/>
    <w:next w:val="Normal"/>
    <w:link w:val="Heading4Char"/>
    <w:qFormat/>
    <w:rsid w:val="009535ED"/>
    <w:pPr>
      <w:keepNext/>
      <w:numPr>
        <w:ilvl w:val="2"/>
        <w:numId w:val="7"/>
      </w:numPr>
      <w:spacing w:before="240" w:after="120"/>
      <w:jc w:val="left"/>
      <w:outlineLvl w:val="3"/>
    </w:pPr>
    <w:rPr>
      <w:b/>
      <w:color w:val="29A79B"/>
    </w:rPr>
  </w:style>
  <w:style w:type="paragraph" w:styleId="Heading5">
    <w:name w:val="heading 5"/>
    <w:basedOn w:val="Normal"/>
    <w:next w:val="Normal"/>
    <w:link w:val="Heading5Char"/>
    <w:uiPriority w:val="9"/>
    <w:unhideWhenUsed/>
    <w:rsid w:val="00E10FBE"/>
    <w:pPr>
      <w:spacing w:before="20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6C48B1"/>
    <w:pPr>
      <w:numPr>
        <w:ilvl w:val="5"/>
        <w:numId w:val="7"/>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C48B1"/>
    <w:pPr>
      <w:numPr>
        <w:ilvl w:val="6"/>
        <w:numId w:val="7"/>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C48B1"/>
    <w:pPr>
      <w:numPr>
        <w:ilvl w:val="7"/>
        <w:numId w:val="7"/>
      </w:num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6C48B1"/>
    <w:pPr>
      <w:numPr>
        <w:ilvl w:val="8"/>
        <w:numId w:val="7"/>
      </w:num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35ED"/>
    <w:rPr>
      <w:rFonts w:ascii="Aptos" w:eastAsiaTheme="minorHAnsi" w:hAnsi="Aptos"/>
      <w:b/>
      <w:color w:val="5B5590"/>
      <w:kern w:val="28"/>
      <w:sz w:val="40"/>
      <w:lang w:val="en-ZA" w:bidi="ar-SA"/>
    </w:rPr>
  </w:style>
  <w:style w:type="character" w:customStyle="1" w:styleId="Heading2Char">
    <w:name w:val="Heading 2 Char"/>
    <w:basedOn w:val="DefaultParagraphFont"/>
    <w:link w:val="Heading2"/>
    <w:rsid w:val="00345402"/>
    <w:rPr>
      <w:rFonts w:ascii="Aptos" w:eastAsiaTheme="minorHAnsi" w:hAnsi="Aptos" w:cs="Arial"/>
      <w:b/>
      <w:bCs/>
      <w:iCs/>
      <w:color w:val="5B5590"/>
      <w:sz w:val="32"/>
      <w:szCs w:val="32"/>
      <w:lang w:val="en-GB" w:bidi="ar-SA"/>
    </w:rPr>
  </w:style>
  <w:style w:type="character" w:customStyle="1" w:styleId="Heading3Char">
    <w:name w:val="Heading 3 Char"/>
    <w:basedOn w:val="DefaultParagraphFont"/>
    <w:link w:val="Heading3"/>
    <w:rsid w:val="009535ED"/>
    <w:rPr>
      <w:rFonts w:ascii="Aptos" w:eastAsiaTheme="minorHAnsi" w:hAnsi="Aptos"/>
      <w:b/>
      <w:color w:val="5B5590"/>
      <w:sz w:val="28"/>
      <w:szCs w:val="28"/>
      <w:lang w:val="en-ZA" w:bidi="ar-SA"/>
    </w:rPr>
  </w:style>
  <w:style w:type="character" w:customStyle="1" w:styleId="Heading4Char">
    <w:name w:val="Heading 4 Char"/>
    <w:basedOn w:val="DefaultParagraphFont"/>
    <w:link w:val="Heading4"/>
    <w:rsid w:val="009535ED"/>
    <w:rPr>
      <w:rFonts w:ascii="Aptos" w:eastAsiaTheme="minorHAnsi" w:hAnsi="Aptos"/>
      <w:b/>
      <w:color w:val="29A79B"/>
      <w:lang w:val="en-GB" w:bidi="ar-SA"/>
    </w:rPr>
  </w:style>
  <w:style w:type="character" w:customStyle="1" w:styleId="Heading5Char">
    <w:name w:val="Heading 5 Char"/>
    <w:basedOn w:val="DefaultParagraphFont"/>
    <w:link w:val="Heading5"/>
    <w:uiPriority w:val="9"/>
    <w:rsid w:val="00E10FBE"/>
    <w:rPr>
      <w:rFonts w:ascii="Aptos" w:eastAsiaTheme="majorEastAsia" w:hAnsi="Aptos" w:cstheme="majorBidi"/>
      <w:b/>
      <w:bCs/>
      <w:lang w:val="en-GB" w:bidi="ar-SA"/>
    </w:rPr>
  </w:style>
  <w:style w:type="character" w:customStyle="1" w:styleId="Heading6Char">
    <w:name w:val="Heading 6 Char"/>
    <w:basedOn w:val="DefaultParagraphFont"/>
    <w:link w:val="Heading6"/>
    <w:uiPriority w:val="9"/>
    <w:semiHidden/>
    <w:rsid w:val="006C48B1"/>
    <w:rPr>
      <w:rFonts w:asciiTheme="majorHAnsi" w:eastAsiaTheme="majorEastAsia" w:hAnsiTheme="majorHAnsi" w:cstheme="majorBidi"/>
      <w:b/>
      <w:bCs/>
      <w:i/>
      <w:iCs/>
      <w:color w:val="7F7F7F" w:themeColor="text1" w:themeTint="80"/>
      <w:lang w:val="en-GB" w:bidi="ar-SA"/>
    </w:rPr>
  </w:style>
  <w:style w:type="character" w:customStyle="1" w:styleId="Heading7Char">
    <w:name w:val="Heading 7 Char"/>
    <w:basedOn w:val="DefaultParagraphFont"/>
    <w:link w:val="Heading7"/>
    <w:uiPriority w:val="9"/>
    <w:semiHidden/>
    <w:rsid w:val="006C48B1"/>
    <w:rPr>
      <w:rFonts w:asciiTheme="majorHAnsi" w:eastAsiaTheme="majorEastAsia" w:hAnsiTheme="majorHAnsi" w:cstheme="majorBidi"/>
      <w:i/>
      <w:iCs/>
      <w:lang w:val="en-GB" w:bidi="ar-SA"/>
    </w:rPr>
  </w:style>
  <w:style w:type="character" w:customStyle="1" w:styleId="Heading8Char">
    <w:name w:val="Heading 8 Char"/>
    <w:basedOn w:val="DefaultParagraphFont"/>
    <w:link w:val="Heading8"/>
    <w:uiPriority w:val="9"/>
    <w:semiHidden/>
    <w:rsid w:val="006C48B1"/>
    <w:rPr>
      <w:rFonts w:asciiTheme="majorHAnsi" w:eastAsiaTheme="majorEastAsia" w:hAnsiTheme="majorHAnsi" w:cstheme="majorBidi"/>
      <w:sz w:val="20"/>
      <w:lang w:val="en-GB" w:bidi="ar-SA"/>
    </w:rPr>
  </w:style>
  <w:style w:type="character" w:customStyle="1" w:styleId="Heading9Char">
    <w:name w:val="Heading 9 Char"/>
    <w:basedOn w:val="DefaultParagraphFont"/>
    <w:link w:val="Heading9"/>
    <w:uiPriority w:val="9"/>
    <w:semiHidden/>
    <w:rsid w:val="006C48B1"/>
    <w:rPr>
      <w:rFonts w:asciiTheme="majorHAnsi" w:eastAsiaTheme="majorEastAsia" w:hAnsiTheme="majorHAnsi" w:cstheme="majorBidi"/>
      <w:i/>
      <w:iCs/>
      <w:spacing w:val="5"/>
      <w:sz w:val="20"/>
      <w:lang w:val="en-GB" w:bidi="ar-SA"/>
    </w:rPr>
  </w:style>
  <w:style w:type="paragraph" w:styleId="Title">
    <w:name w:val="Title"/>
    <w:basedOn w:val="Normal"/>
    <w:next w:val="Normal"/>
    <w:link w:val="TitleChar"/>
    <w:uiPriority w:val="1"/>
    <w:qFormat/>
    <w:rsid w:val="00835F34"/>
    <w:pPr>
      <w:spacing w:before="240" w:after="60"/>
      <w:jc w:val="center"/>
      <w:outlineLvl w:val="0"/>
    </w:pPr>
    <w:rPr>
      <w:rFonts w:cs="Arial"/>
      <w:b/>
      <w:bCs/>
      <w:color w:val="002060"/>
      <w:kern w:val="28"/>
      <w:sz w:val="52"/>
      <w:szCs w:val="32"/>
    </w:rPr>
  </w:style>
  <w:style w:type="character" w:customStyle="1" w:styleId="TitleChar">
    <w:name w:val="Title Char"/>
    <w:basedOn w:val="DefaultParagraphFont"/>
    <w:link w:val="Title"/>
    <w:uiPriority w:val="1"/>
    <w:rsid w:val="00835F34"/>
    <w:rPr>
      <w:rFonts w:ascii="Aptos" w:eastAsiaTheme="minorHAnsi" w:hAnsi="Aptos" w:cs="Arial"/>
      <w:b/>
      <w:bCs/>
      <w:color w:val="002060"/>
      <w:kern w:val="28"/>
      <w:sz w:val="52"/>
      <w:szCs w:val="32"/>
      <w:lang w:val="en-GB" w:bidi="ar-SA"/>
    </w:rPr>
  </w:style>
  <w:style w:type="paragraph" w:styleId="Subtitle">
    <w:name w:val="Subtitle"/>
    <w:basedOn w:val="Normal"/>
    <w:next w:val="Normal"/>
    <w:link w:val="SubtitleChar"/>
    <w:uiPriority w:val="11"/>
    <w:semiHidden/>
    <w:unhideWhenUsed/>
    <w:qFormat/>
    <w:rsid w:val="006C48B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015FEB"/>
    <w:rPr>
      <w:rFonts w:asciiTheme="majorHAnsi" w:eastAsiaTheme="majorEastAsia" w:hAnsiTheme="majorHAnsi" w:cstheme="majorBidi"/>
      <w:i/>
      <w:iCs/>
      <w:spacing w:val="13"/>
      <w:sz w:val="24"/>
      <w:szCs w:val="24"/>
      <w:lang w:val="en-GB" w:bidi="ar-SA"/>
    </w:rPr>
  </w:style>
  <w:style w:type="character" w:styleId="Strong">
    <w:name w:val="Strong"/>
    <w:uiPriority w:val="22"/>
    <w:unhideWhenUsed/>
    <w:qFormat/>
    <w:rsid w:val="006C48B1"/>
    <w:rPr>
      <w:b/>
      <w:bCs/>
    </w:rPr>
  </w:style>
  <w:style w:type="character" w:styleId="Emphasis">
    <w:name w:val="Emphasis"/>
    <w:uiPriority w:val="20"/>
    <w:semiHidden/>
    <w:unhideWhenUsed/>
    <w:qFormat/>
    <w:rsid w:val="006C48B1"/>
    <w:rPr>
      <w:b/>
      <w:bCs/>
      <w:i/>
      <w:iCs/>
      <w:spacing w:val="10"/>
      <w:bdr w:val="none" w:sz="0" w:space="0" w:color="auto"/>
      <w:shd w:val="clear" w:color="auto" w:fill="auto"/>
    </w:rPr>
  </w:style>
  <w:style w:type="paragraph" w:styleId="NoSpacing">
    <w:name w:val="No Spacing"/>
    <w:basedOn w:val="Normal"/>
    <w:uiPriority w:val="1"/>
    <w:semiHidden/>
    <w:unhideWhenUsed/>
    <w:qFormat/>
    <w:rsid w:val="006C48B1"/>
  </w:style>
  <w:style w:type="paragraph" w:styleId="ListParagraph">
    <w:name w:val="List Paragraph"/>
    <w:basedOn w:val="Normal"/>
    <w:uiPriority w:val="34"/>
    <w:unhideWhenUsed/>
    <w:qFormat/>
    <w:rsid w:val="006C48B1"/>
    <w:pPr>
      <w:ind w:left="720"/>
      <w:contextualSpacing/>
    </w:pPr>
  </w:style>
  <w:style w:type="paragraph" w:styleId="Quote">
    <w:name w:val="Quote"/>
    <w:basedOn w:val="Normal"/>
    <w:next w:val="Normal"/>
    <w:link w:val="QuoteChar"/>
    <w:uiPriority w:val="29"/>
    <w:semiHidden/>
    <w:unhideWhenUsed/>
    <w:qFormat/>
    <w:rsid w:val="006C48B1"/>
    <w:pPr>
      <w:spacing w:before="200"/>
      <w:ind w:left="360" w:right="360"/>
    </w:pPr>
    <w:rPr>
      <w:i/>
      <w:iCs/>
    </w:rPr>
  </w:style>
  <w:style w:type="character" w:customStyle="1" w:styleId="QuoteChar">
    <w:name w:val="Quote Char"/>
    <w:basedOn w:val="DefaultParagraphFont"/>
    <w:link w:val="Quote"/>
    <w:uiPriority w:val="29"/>
    <w:semiHidden/>
    <w:rsid w:val="00015FEB"/>
    <w:rPr>
      <w:rFonts w:cs="Times New Roman"/>
      <w:i/>
      <w:iCs/>
      <w:sz w:val="24"/>
      <w:szCs w:val="20"/>
      <w:lang w:val="en-GB" w:bidi="ar-SA"/>
    </w:rPr>
  </w:style>
  <w:style w:type="paragraph" w:styleId="IntenseQuote">
    <w:name w:val="Intense Quote"/>
    <w:basedOn w:val="Normal"/>
    <w:next w:val="Normal"/>
    <w:link w:val="IntenseQuoteChar"/>
    <w:uiPriority w:val="30"/>
    <w:semiHidden/>
    <w:unhideWhenUsed/>
    <w:qFormat/>
    <w:rsid w:val="006C48B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5FEB"/>
    <w:rPr>
      <w:rFonts w:cs="Times New Roman"/>
      <w:b/>
      <w:bCs/>
      <w:i/>
      <w:iCs/>
      <w:sz w:val="24"/>
      <w:szCs w:val="20"/>
      <w:lang w:val="en-GB" w:bidi="ar-SA"/>
    </w:rPr>
  </w:style>
  <w:style w:type="character" w:styleId="SubtleEmphasis">
    <w:name w:val="Subtle Emphasis"/>
    <w:uiPriority w:val="19"/>
    <w:semiHidden/>
    <w:unhideWhenUsed/>
    <w:qFormat/>
    <w:rsid w:val="006C48B1"/>
    <w:rPr>
      <w:i/>
      <w:iCs/>
    </w:rPr>
  </w:style>
  <w:style w:type="character" w:styleId="IntenseEmphasis">
    <w:name w:val="Intense Emphasis"/>
    <w:uiPriority w:val="21"/>
    <w:semiHidden/>
    <w:unhideWhenUsed/>
    <w:qFormat/>
    <w:rsid w:val="006C48B1"/>
    <w:rPr>
      <w:b/>
      <w:bCs/>
    </w:rPr>
  </w:style>
  <w:style w:type="character" w:styleId="SubtleReference">
    <w:name w:val="Subtle Reference"/>
    <w:uiPriority w:val="31"/>
    <w:semiHidden/>
    <w:unhideWhenUsed/>
    <w:qFormat/>
    <w:rsid w:val="006C48B1"/>
    <w:rPr>
      <w:smallCaps/>
    </w:rPr>
  </w:style>
  <w:style w:type="character" w:styleId="IntenseReference">
    <w:name w:val="Intense Reference"/>
    <w:uiPriority w:val="32"/>
    <w:semiHidden/>
    <w:unhideWhenUsed/>
    <w:qFormat/>
    <w:rsid w:val="006C48B1"/>
    <w:rPr>
      <w:smallCaps/>
      <w:spacing w:val="5"/>
      <w:u w:val="single"/>
    </w:rPr>
  </w:style>
  <w:style w:type="character" w:styleId="BookTitle">
    <w:name w:val="Book Title"/>
    <w:uiPriority w:val="33"/>
    <w:semiHidden/>
    <w:unhideWhenUsed/>
    <w:qFormat/>
    <w:rsid w:val="006C48B1"/>
    <w:rPr>
      <w:i/>
      <w:iCs/>
      <w:smallCaps/>
      <w:spacing w:val="5"/>
    </w:rPr>
  </w:style>
  <w:style w:type="paragraph" w:styleId="TOCHeading">
    <w:name w:val="TOC Heading"/>
    <w:basedOn w:val="Heading1"/>
    <w:next w:val="Normal"/>
    <w:uiPriority w:val="39"/>
    <w:semiHidden/>
    <w:unhideWhenUsed/>
    <w:qFormat/>
    <w:rsid w:val="006C48B1"/>
    <w:pPr>
      <w:outlineLvl w:val="9"/>
    </w:pPr>
  </w:style>
  <w:style w:type="paragraph" w:styleId="Bibliography">
    <w:name w:val="Bibliography"/>
    <w:basedOn w:val="Normal"/>
    <w:semiHidden/>
    <w:unhideWhenUsed/>
    <w:rsid w:val="006C48B1"/>
    <w:pPr>
      <w:numPr>
        <w:numId w:val="1"/>
      </w:numPr>
    </w:pPr>
  </w:style>
  <w:style w:type="paragraph" w:styleId="BlockText">
    <w:name w:val="Block Text"/>
    <w:basedOn w:val="Normal"/>
    <w:semiHidden/>
    <w:unhideWhenUsed/>
    <w:rsid w:val="006C48B1"/>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015FEB"/>
    <w:pPr>
      <w:tabs>
        <w:tab w:val="left" w:pos="1489"/>
      </w:tabs>
      <w:ind w:left="720" w:right="720"/>
    </w:pPr>
    <w:rPr>
      <w:i/>
      <w:snapToGrid w:val="0"/>
      <w:color w:val="000000"/>
      <w:sz w:val="20"/>
    </w:rPr>
  </w:style>
  <w:style w:type="character" w:customStyle="1" w:styleId="BodyTextIndentChar">
    <w:name w:val="Body Text Indent Char"/>
    <w:basedOn w:val="DefaultParagraphFont"/>
    <w:link w:val="BodyTextIndent"/>
    <w:rsid w:val="00015FEB"/>
    <w:rPr>
      <w:rFonts w:cs="Times New Roman"/>
      <w:i/>
      <w:snapToGrid w:val="0"/>
      <w:color w:val="000000"/>
      <w:sz w:val="20"/>
      <w:szCs w:val="20"/>
      <w:lang w:val="en-GB" w:bidi="ar-SA"/>
    </w:rPr>
  </w:style>
  <w:style w:type="paragraph" w:customStyle="1" w:styleId="FigureReference">
    <w:name w:val="Figure Reference"/>
    <w:basedOn w:val="Normal"/>
    <w:next w:val="Normal"/>
    <w:uiPriority w:val="1"/>
    <w:qFormat/>
    <w:rsid w:val="00A54C65"/>
    <w:pPr>
      <w:keepNext/>
      <w:keepLines/>
      <w:numPr>
        <w:numId w:val="3"/>
      </w:numPr>
      <w:spacing w:after="240"/>
    </w:pPr>
    <w:rPr>
      <w:i/>
    </w:rPr>
  </w:style>
  <w:style w:type="paragraph" w:styleId="Footer">
    <w:name w:val="footer"/>
    <w:basedOn w:val="Normal"/>
    <w:link w:val="FooterChar"/>
    <w:uiPriority w:val="99"/>
    <w:qFormat/>
    <w:rsid w:val="006C48B1"/>
    <w:pPr>
      <w:tabs>
        <w:tab w:val="center" w:pos="4153"/>
        <w:tab w:val="right" w:pos="8306"/>
      </w:tabs>
    </w:pPr>
  </w:style>
  <w:style w:type="character" w:customStyle="1" w:styleId="FooterChar">
    <w:name w:val="Footer Char"/>
    <w:basedOn w:val="DefaultParagraphFont"/>
    <w:link w:val="Footer"/>
    <w:uiPriority w:val="99"/>
    <w:rsid w:val="00015FEB"/>
    <w:rPr>
      <w:rFonts w:cs="Times New Roman"/>
      <w:sz w:val="24"/>
      <w:szCs w:val="20"/>
      <w:lang w:val="en-GB" w:bidi="ar-SA"/>
    </w:rPr>
  </w:style>
  <w:style w:type="character" w:styleId="FootnoteReference">
    <w:name w:val="footnote reference"/>
    <w:basedOn w:val="DefaultParagraphFont"/>
    <w:uiPriority w:val="1"/>
    <w:qFormat/>
    <w:rsid w:val="006C48B1"/>
    <w:rPr>
      <w:vertAlign w:val="superscript"/>
    </w:rPr>
  </w:style>
  <w:style w:type="paragraph" w:styleId="FootnoteText">
    <w:name w:val="footnote text"/>
    <w:basedOn w:val="Normal"/>
    <w:link w:val="FootnoteTextChar"/>
    <w:uiPriority w:val="1"/>
    <w:qFormat/>
    <w:rsid w:val="00BC0F16"/>
    <w:pPr>
      <w:jc w:val="left"/>
    </w:pPr>
    <w:rPr>
      <w:sz w:val="18"/>
      <w:lang w:bidi="en-US"/>
    </w:rPr>
  </w:style>
  <w:style w:type="character" w:customStyle="1" w:styleId="FootnoteTextChar">
    <w:name w:val="Footnote Text Char"/>
    <w:basedOn w:val="DefaultParagraphFont"/>
    <w:link w:val="FootnoteText"/>
    <w:uiPriority w:val="1"/>
    <w:rsid w:val="00BC0F16"/>
    <w:rPr>
      <w:sz w:val="18"/>
      <w:lang w:val="en-GB" w:eastAsia="en-US"/>
    </w:rPr>
  </w:style>
  <w:style w:type="paragraph" w:styleId="Header">
    <w:name w:val="header"/>
    <w:basedOn w:val="Normal"/>
    <w:link w:val="HeaderChar"/>
    <w:uiPriority w:val="1"/>
    <w:qFormat/>
    <w:rsid w:val="00835F34"/>
    <w:pPr>
      <w:pBdr>
        <w:bottom w:val="single" w:sz="4" w:space="1" w:color="C6D9F1" w:themeColor="text2" w:themeTint="33"/>
      </w:pBdr>
      <w:tabs>
        <w:tab w:val="center" w:pos="4153"/>
        <w:tab w:val="right" w:pos="8306"/>
      </w:tabs>
      <w:jc w:val="center"/>
    </w:pPr>
    <w:rPr>
      <w:color w:val="1F497D" w:themeColor="text2"/>
      <w:sz w:val="20"/>
      <w:lang w:val="en-ZA"/>
    </w:rPr>
  </w:style>
  <w:style w:type="character" w:customStyle="1" w:styleId="HeaderChar">
    <w:name w:val="Header Char"/>
    <w:basedOn w:val="DefaultParagraphFont"/>
    <w:link w:val="Header"/>
    <w:uiPriority w:val="1"/>
    <w:rsid w:val="00835F34"/>
    <w:rPr>
      <w:rFonts w:ascii="Aptos" w:eastAsiaTheme="minorHAnsi" w:hAnsi="Aptos"/>
      <w:color w:val="1F497D" w:themeColor="text2"/>
      <w:sz w:val="20"/>
      <w:lang w:val="en-ZA" w:bidi="ar-SA"/>
    </w:rPr>
  </w:style>
  <w:style w:type="character" w:styleId="Hyperlink">
    <w:name w:val="Hyperlink"/>
    <w:basedOn w:val="DefaultParagraphFont"/>
    <w:uiPriority w:val="1"/>
    <w:rsid w:val="006C48B1"/>
    <w:rPr>
      <w:color w:val="0000FF"/>
      <w:u w:val="single"/>
    </w:rPr>
  </w:style>
  <w:style w:type="character" w:styleId="PageNumber">
    <w:name w:val="page number"/>
    <w:basedOn w:val="DefaultParagraphFont"/>
    <w:uiPriority w:val="1"/>
    <w:rsid w:val="006C48B1"/>
  </w:style>
  <w:style w:type="paragraph" w:customStyle="1" w:styleId="TableReference">
    <w:name w:val="Table Reference"/>
    <w:basedOn w:val="Normal"/>
    <w:next w:val="Normal"/>
    <w:uiPriority w:val="1"/>
    <w:qFormat/>
    <w:rsid w:val="006C48B1"/>
    <w:pPr>
      <w:keepNext/>
      <w:keepLines/>
      <w:numPr>
        <w:numId w:val="2"/>
      </w:numPr>
      <w:spacing w:after="240"/>
    </w:pPr>
    <w:rPr>
      <w:i/>
      <w:lang w:val="en-US"/>
    </w:rPr>
  </w:style>
  <w:style w:type="table" w:styleId="TableGrid">
    <w:name w:val="Table Grid"/>
    <w:basedOn w:val="TableNormal"/>
    <w:uiPriority w:val="59"/>
    <w:rsid w:val="00DA6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C27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rFonts w:ascii="Aptos" w:hAnsi="Aptos"/>
        <w:b/>
        <w:sz w:val="22"/>
      </w:rPr>
      <w:tblPr/>
      <w:tcPr>
        <w:shd w:val="clear" w:color="auto" w:fill="C6D9F1" w:themeFill="text2" w:themeFillTint="33"/>
        <w:vAlign w:val="center"/>
      </w:tcPr>
    </w:tblStylePr>
  </w:style>
  <w:style w:type="table" w:styleId="PlainTable1">
    <w:name w:val="Plain Table 1"/>
    <w:basedOn w:val="TableNormal"/>
    <w:uiPriority w:val="41"/>
    <w:rsid w:val="002C27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A65BE6"/>
    <w:rPr>
      <w:color w:val="605E5C"/>
      <w:shd w:val="clear" w:color="auto" w:fill="E1DFDD"/>
    </w:rPr>
  </w:style>
  <w:style w:type="character" w:styleId="FollowedHyperlink">
    <w:name w:val="FollowedHyperlink"/>
    <w:basedOn w:val="DefaultParagraphFont"/>
    <w:uiPriority w:val="99"/>
    <w:semiHidden/>
    <w:unhideWhenUsed/>
    <w:rsid w:val="001D234C"/>
    <w:rPr>
      <w:color w:val="800080" w:themeColor="followedHyperlink"/>
      <w:u w:val="single"/>
    </w:rPr>
  </w:style>
  <w:style w:type="character" w:styleId="CommentReference">
    <w:name w:val="annotation reference"/>
    <w:basedOn w:val="DefaultParagraphFont"/>
    <w:uiPriority w:val="99"/>
    <w:semiHidden/>
    <w:unhideWhenUsed/>
    <w:rsid w:val="002326D6"/>
    <w:rPr>
      <w:sz w:val="16"/>
      <w:szCs w:val="16"/>
    </w:rPr>
  </w:style>
  <w:style w:type="paragraph" w:styleId="CommentText">
    <w:name w:val="annotation text"/>
    <w:basedOn w:val="Normal"/>
    <w:link w:val="CommentTextChar"/>
    <w:uiPriority w:val="99"/>
    <w:unhideWhenUsed/>
    <w:rsid w:val="002326D6"/>
    <w:rPr>
      <w:sz w:val="20"/>
      <w:szCs w:val="20"/>
    </w:rPr>
  </w:style>
  <w:style w:type="character" w:customStyle="1" w:styleId="CommentTextChar">
    <w:name w:val="Comment Text Char"/>
    <w:basedOn w:val="DefaultParagraphFont"/>
    <w:link w:val="CommentText"/>
    <w:uiPriority w:val="99"/>
    <w:rsid w:val="002326D6"/>
    <w:rPr>
      <w:rFonts w:ascii="Aptos" w:eastAsiaTheme="minorHAnsi" w:hAnsi="Aptos"/>
      <w:sz w:val="20"/>
      <w:szCs w:val="20"/>
      <w:lang w:val="en-GB" w:bidi="ar-SA"/>
    </w:rPr>
  </w:style>
  <w:style w:type="paragraph" w:styleId="CommentSubject">
    <w:name w:val="annotation subject"/>
    <w:basedOn w:val="CommentText"/>
    <w:next w:val="CommentText"/>
    <w:link w:val="CommentSubjectChar"/>
    <w:uiPriority w:val="99"/>
    <w:semiHidden/>
    <w:unhideWhenUsed/>
    <w:rsid w:val="002326D6"/>
    <w:rPr>
      <w:b/>
      <w:bCs/>
    </w:rPr>
  </w:style>
  <w:style w:type="character" w:customStyle="1" w:styleId="CommentSubjectChar">
    <w:name w:val="Comment Subject Char"/>
    <w:basedOn w:val="CommentTextChar"/>
    <w:link w:val="CommentSubject"/>
    <w:uiPriority w:val="99"/>
    <w:semiHidden/>
    <w:rsid w:val="002326D6"/>
    <w:rPr>
      <w:rFonts w:ascii="Aptos" w:eastAsiaTheme="minorHAnsi" w:hAnsi="Aptos"/>
      <w:b/>
      <w:bCs/>
      <w:sz w:val="20"/>
      <w:szCs w:val="20"/>
      <w:lang w:val="en-GB" w:bidi="ar-SA"/>
    </w:rPr>
  </w:style>
  <w:style w:type="paragraph" w:styleId="Revision">
    <w:name w:val="Revision"/>
    <w:hidden/>
    <w:uiPriority w:val="99"/>
    <w:semiHidden/>
    <w:rsid w:val="003F5BC2"/>
    <w:pPr>
      <w:spacing w:after="0" w:line="240" w:lineRule="auto"/>
    </w:pPr>
    <w:rPr>
      <w:rFonts w:ascii="Aptos" w:eastAsiaTheme="minorHAnsi" w:hAnsi="Apto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66335">
      <w:bodyDiv w:val="1"/>
      <w:marLeft w:val="0"/>
      <w:marRight w:val="0"/>
      <w:marTop w:val="0"/>
      <w:marBottom w:val="0"/>
      <w:divBdr>
        <w:top w:val="none" w:sz="0" w:space="0" w:color="auto"/>
        <w:left w:val="none" w:sz="0" w:space="0" w:color="auto"/>
        <w:bottom w:val="none" w:sz="0" w:space="0" w:color="auto"/>
        <w:right w:val="none" w:sz="0" w:space="0" w:color="auto"/>
      </w:divBdr>
    </w:div>
    <w:div w:id="145633646">
      <w:bodyDiv w:val="1"/>
      <w:marLeft w:val="0"/>
      <w:marRight w:val="0"/>
      <w:marTop w:val="0"/>
      <w:marBottom w:val="0"/>
      <w:divBdr>
        <w:top w:val="none" w:sz="0" w:space="0" w:color="auto"/>
        <w:left w:val="none" w:sz="0" w:space="0" w:color="auto"/>
        <w:bottom w:val="none" w:sz="0" w:space="0" w:color="auto"/>
        <w:right w:val="none" w:sz="0" w:space="0" w:color="auto"/>
      </w:divBdr>
    </w:div>
    <w:div w:id="200290662">
      <w:bodyDiv w:val="1"/>
      <w:marLeft w:val="0"/>
      <w:marRight w:val="0"/>
      <w:marTop w:val="0"/>
      <w:marBottom w:val="0"/>
      <w:divBdr>
        <w:top w:val="none" w:sz="0" w:space="0" w:color="auto"/>
        <w:left w:val="none" w:sz="0" w:space="0" w:color="auto"/>
        <w:bottom w:val="none" w:sz="0" w:space="0" w:color="auto"/>
        <w:right w:val="none" w:sz="0" w:space="0" w:color="auto"/>
      </w:divBdr>
      <w:divsChild>
        <w:div w:id="1803157854">
          <w:marLeft w:val="547"/>
          <w:marRight w:val="0"/>
          <w:marTop w:val="0"/>
          <w:marBottom w:val="0"/>
          <w:divBdr>
            <w:top w:val="none" w:sz="0" w:space="0" w:color="auto"/>
            <w:left w:val="none" w:sz="0" w:space="0" w:color="auto"/>
            <w:bottom w:val="none" w:sz="0" w:space="0" w:color="auto"/>
            <w:right w:val="none" w:sz="0" w:space="0" w:color="auto"/>
          </w:divBdr>
        </w:div>
      </w:divsChild>
    </w:div>
    <w:div w:id="248664035">
      <w:bodyDiv w:val="1"/>
      <w:marLeft w:val="0"/>
      <w:marRight w:val="0"/>
      <w:marTop w:val="0"/>
      <w:marBottom w:val="0"/>
      <w:divBdr>
        <w:top w:val="none" w:sz="0" w:space="0" w:color="auto"/>
        <w:left w:val="none" w:sz="0" w:space="0" w:color="auto"/>
        <w:bottom w:val="none" w:sz="0" w:space="0" w:color="auto"/>
        <w:right w:val="none" w:sz="0" w:space="0" w:color="auto"/>
      </w:divBdr>
      <w:divsChild>
        <w:div w:id="551773283">
          <w:marLeft w:val="720"/>
          <w:marRight w:val="0"/>
          <w:marTop w:val="0"/>
          <w:marBottom w:val="0"/>
          <w:divBdr>
            <w:top w:val="none" w:sz="0" w:space="0" w:color="auto"/>
            <w:left w:val="none" w:sz="0" w:space="0" w:color="auto"/>
            <w:bottom w:val="none" w:sz="0" w:space="0" w:color="auto"/>
            <w:right w:val="none" w:sz="0" w:space="0" w:color="auto"/>
          </w:divBdr>
        </w:div>
        <w:div w:id="1777946538">
          <w:marLeft w:val="2160"/>
          <w:marRight w:val="0"/>
          <w:marTop w:val="0"/>
          <w:marBottom w:val="0"/>
          <w:divBdr>
            <w:top w:val="none" w:sz="0" w:space="0" w:color="auto"/>
            <w:left w:val="none" w:sz="0" w:space="0" w:color="auto"/>
            <w:bottom w:val="none" w:sz="0" w:space="0" w:color="auto"/>
            <w:right w:val="none" w:sz="0" w:space="0" w:color="auto"/>
          </w:divBdr>
        </w:div>
        <w:div w:id="1555965063">
          <w:marLeft w:val="2160"/>
          <w:marRight w:val="0"/>
          <w:marTop w:val="0"/>
          <w:marBottom w:val="0"/>
          <w:divBdr>
            <w:top w:val="none" w:sz="0" w:space="0" w:color="auto"/>
            <w:left w:val="none" w:sz="0" w:space="0" w:color="auto"/>
            <w:bottom w:val="none" w:sz="0" w:space="0" w:color="auto"/>
            <w:right w:val="none" w:sz="0" w:space="0" w:color="auto"/>
          </w:divBdr>
        </w:div>
        <w:div w:id="602495959">
          <w:marLeft w:val="2160"/>
          <w:marRight w:val="0"/>
          <w:marTop w:val="0"/>
          <w:marBottom w:val="0"/>
          <w:divBdr>
            <w:top w:val="none" w:sz="0" w:space="0" w:color="auto"/>
            <w:left w:val="none" w:sz="0" w:space="0" w:color="auto"/>
            <w:bottom w:val="none" w:sz="0" w:space="0" w:color="auto"/>
            <w:right w:val="none" w:sz="0" w:space="0" w:color="auto"/>
          </w:divBdr>
        </w:div>
        <w:div w:id="197472151">
          <w:marLeft w:val="2160"/>
          <w:marRight w:val="0"/>
          <w:marTop w:val="0"/>
          <w:marBottom w:val="0"/>
          <w:divBdr>
            <w:top w:val="none" w:sz="0" w:space="0" w:color="auto"/>
            <w:left w:val="none" w:sz="0" w:space="0" w:color="auto"/>
            <w:bottom w:val="none" w:sz="0" w:space="0" w:color="auto"/>
            <w:right w:val="none" w:sz="0" w:space="0" w:color="auto"/>
          </w:divBdr>
        </w:div>
        <w:div w:id="575238691">
          <w:marLeft w:val="720"/>
          <w:marRight w:val="0"/>
          <w:marTop w:val="0"/>
          <w:marBottom w:val="0"/>
          <w:divBdr>
            <w:top w:val="none" w:sz="0" w:space="0" w:color="auto"/>
            <w:left w:val="none" w:sz="0" w:space="0" w:color="auto"/>
            <w:bottom w:val="none" w:sz="0" w:space="0" w:color="auto"/>
            <w:right w:val="none" w:sz="0" w:space="0" w:color="auto"/>
          </w:divBdr>
        </w:div>
        <w:div w:id="953554549">
          <w:marLeft w:val="2160"/>
          <w:marRight w:val="0"/>
          <w:marTop w:val="0"/>
          <w:marBottom w:val="0"/>
          <w:divBdr>
            <w:top w:val="none" w:sz="0" w:space="0" w:color="auto"/>
            <w:left w:val="none" w:sz="0" w:space="0" w:color="auto"/>
            <w:bottom w:val="none" w:sz="0" w:space="0" w:color="auto"/>
            <w:right w:val="none" w:sz="0" w:space="0" w:color="auto"/>
          </w:divBdr>
        </w:div>
      </w:divsChild>
    </w:div>
    <w:div w:id="256326140">
      <w:bodyDiv w:val="1"/>
      <w:marLeft w:val="0"/>
      <w:marRight w:val="0"/>
      <w:marTop w:val="0"/>
      <w:marBottom w:val="0"/>
      <w:divBdr>
        <w:top w:val="none" w:sz="0" w:space="0" w:color="auto"/>
        <w:left w:val="none" w:sz="0" w:space="0" w:color="auto"/>
        <w:bottom w:val="none" w:sz="0" w:space="0" w:color="auto"/>
        <w:right w:val="none" w:sz="0" w:space="0" w:color="auto"/>
      </w:divBdr>
    </w:div>
    <w:div w:id="268128121">
      <w:bodyDiv w:val="1"/>
      <w:marLeft w:val="0"/>
      <w:marRight w:val="0"/>
      <w:marTop w:val="0"/>
      <w:marBottom w:val="0"/>
      <w:divBdr>
        <w:top w:val="none" w:sz="0" w:space="0" w:color="auto"/>
        <w:left w:val="none" w:sz="0" w:space="0" w:color="auto"/>
        <w:bottom w:val="none" w:sz="0" w:space="0" w:color="auto"/>
        <w:right w:val="none" w:sz="0" w:space="0" w:color="auto"/>
      </w:divBdr>
    </w:div>
    <w:div w:id="280964116">
      <w:bodyDiv w:val="1"/>
      <w:marLeft w:val="0"/>
      <w:marRight w:val="0"/>
      <w:marTop w:val="0"/>
      <w:marBottom w:val="0"/>
      <w:divBdr>
        <w:top w:val="none" w:sz="0" w:space="0" w:color="auto"/>
        <w:left w:val="none" w:sz="0" w:space="0" w:color="auto"/>
        <w:bottom w:val="none" w:sz="0" w:space="0" w:color="auto"/>
        <w:right w:val="none" w:sz="0" w:space="0" w:color="auto"/>
      </w:divBdr>
      <w:divsChild>
        <w:div w:id="1875192503">
          <w:marLeft w:val="547"/>
          <w:marRight w:val="0"/>
          <w:marTop w:val="0"/>
          <w:marBottom w:val="0"/>
          <w:divBdr>
            <w:top w:val="none" w:sz="0" w:space="0" w:color="auto"/>
            <w:left w:val="none" w:sz="0" w:space="0" w:color="auto"/>
            <w:bottom w:val="none" w:sz="0" w:space="0" w:color="auto"/>
            <w:right w:val="none" w:sz="0" w:space="0" w:color="auto"/>
          </w:divBdr>
        </w:div>
        <w:div w:id="1799376742">
          <w:marLeft w:val="547"/>
          <w:marRight w:val="0"/>
          <w:marTop w:val="0"/>
          <w:marBottom w:val="0"/>
          <w:divBdr>
            <w:top w:val="none" w:sz="0" w:space="0" w:color="auto"/>
            <w:left w:val="none" w:sz="0" w:space="0" w:color="auto"/>
            <w:bottom w:val="none" w:sz="0" w:space="0" w:color="auto"/>
            <w:right w:val="none" w:sz="0" w:space="0" w:color="auto"/>
          </w:divBdr>
        </w:div>
      </w:divsChild>
    </w:div>
    <w:div w:id="370031325">
      <w:bodyDiv w:val="1"/>
      <w:marLeft w:val="0"/>
      <w:marRight w:val="0"/>
      <w:marTop w:val="0"/>
      <w:marBottom w:val="0"/>
      <w:divBdr>
        <w:top w:val="none" w:sz="0" w:space="0" w:color="auto"/>
        <w:left w:val="none" w:sz="0" w:space="0" w:color="auto"/>
        <w:bottom w:val="none" w:sz="0" w:space="0" w:color="auto"/>
        <w:right w:val="none" w:sz="0" w:space="0" w:color="auto"/>
      </w:divBdr>
    </w:div>
    <w:div w:id="710762204">
      <w:bodyDiv w:val="1"/>
      <w:marLeft w:val="0"/>
      <w:marRight w:val="0"/>
      <w:marTop w:val="0"/>
      <w:marBottom w:val="0"/>
      <w:divBdr>
        <w:top w:val="none" w:sz="0" w:space="0" w:color="auto"/>
        <w:left w:val="none" w:sz="0" w:space="0" w:color="auto"/>
        <w:bottom w:val="none" w:sz="0" w:space="0" w:color="auto"/>
        <w:right w:val="none" w:sz="0" w:space="0" w:color="auto"/>
      </w:divBdr>
    </w:div>
    <w:div w:id="729885368">
      <w:bodyDiv w:val="1"/>
      <w:marLeft w:val="0"/>
      <w:marRight w:val="0"/>
      <w:marTop w:val="0"/>
      <w:marBottom w:val="0"/>
      <w:divBdr>
        <w:top w:val="none" w:sz="0" w:space="0" w:color="auto"/>
        <w:left w:val="none" w:sz="0" w:space="0" w:color="auto"/>
        <w:bottom w:val="none" w:sz="0" w:space="0" w:color="auto"/>
        <w:right w:val="none" w:sz="0" w:space="0" w:color="auto"/>
      </w:divBdr>
    </w:div>
    <w:div w:id="795685061">
      <w:bodyDiv w:val="1"/>
      <w:marLeft w:val="0"/>
      <w:marRight w:val="0"/>
      <w:marTop w:val="0"/>
      <w:marBottom w:val="0"/>
      <w:divBdr>
        <w:top w:val="none" w:sz="0" w:space="0" w:color="auto"/>
        <w:left w:val="none" w:sz="0" w:space="0" w:color="auto"/>
        <w:bottom w:val="none" w:sz="0" w:space="0" w:color="auto"/>
        <w:right w:val="none" w:sz="0" w:space="0" w:color="auto"/>
      </w:divBdr>
      <w:divsChild>
        <w:div w:id="357388662">
          <w:marLeft w:val="0"/>
          <w:marRight w:val="0"/>
          <w:marTop w:val="0"/>
          <w:marBottom w:val="0"/>
          <w:divBdr>
            <w:top w:val="none" w:sz="0" w:space="0" w:color="auto"/>
            <w:left w:val="none" w:sz="0" w:space="0" w:color="auto"/>
            <w:bottom w:val="none" w:sz="0" w:space="0" w:color="auto"/>
            <w:right w:val="none" w:sz="0" w:space="0" w:color="auto"/>
          </w:divBdr>
          <w:divsChild>
            <w:div w:id="1198741971">
              <w:marLeft w:val="0"/>
              <w:marRight w:val="0"/>
              <w:marTop w:val="0"/>
              <w:marBottom w:val="0"/>
              <w:divBdr>
                <w:top w:val="none" w:sz="0" w:space="0" w:color="auto"/>
                <w:left w:val="none" w:sz="0" w:space="0" w:color="auto"/>
                <w:bottom w:val="none" w:sz="0" w:space="0" w:color="auto"/>
                <w:right w:val="none" w:sz="0" w:space="0" w:color="auto"/>
              </w:divBdr>
            </w:div>
          </w:divsChild>
        </w:div>
        <w:div w:id="1435902165">
          <w:marLeft w:val="0"/>
          <w:marRight w:val="0"/>
          <w:marTop w:val="0"/>
          <w:marBottom w:val="0"/>
          <w:divBdr>
            <w:top w:val="none" w:sz="0" w:space="0" w:color="auto"/>
            <w:left w:val="none" w:sz="0" w:space="0" w:color="auto"/>
            <w:bottom w:val="none" w:sz="0" w:space="0" w:color="auto"/>
            <w:right w:val="none" w:sz="0" w:space="0" w:color="auto"/>
          </w:divBdr>
          <w:divsChild>
            <w:div w:id="1103842992">
              <w:marLeft w:val="0"/>
              <w:marRight w:val="0"/>
              <w:marTop w:val="0"/>
              <w:marBottom w:val="0"/>
              <w:divBdr>
                <w:top w:val="none" w:sz="0" w:space="0" w:color="auto"/>
                <w:left w:val="none" w:sz="0" w:space="0" w:color="auto"/>
                <w:bottom w:val="none" w:sz="0" w:space="0" w:color="auto"/>
                <w:right w:val="none" w:sz="0" w:space="0" w:color="auto"/>
              </w:divBdr>
            </w:div>
          </w:divsChild>
        </w:div>
        <w:div w:id="1014847196">
          <w:marLeft w:val="0"/>
          <w:marRight w:val="0"/>
          <w:marTop w:val="0"/>
          <w:marBottom w:val="0"/>
          <w:divBdr>
            <w:top w:val="none" w:sz="0" w:space="0" w:color="auto"/>
            <w:left w:val="none" w:sz="0" w:space="0" w:color="auto"/>
            <w:bottom w:val="none" w:sz="0" w:space="0" w:color="auto"/>
            <w:right w:val="none" w:sz="0" w:space="0" w:color="auto"/>
          </w:divBdr>
          <w:divsChild>
            <w:div w:id="1546722868">
              <w:marLeft w:val="0"/>
              <w:marRight w:val="0"/>
              <w:marTop w:val="0"/>
              <w:marBottom w:val="0"/>
              <w:divBdr>
                <w:top w:val="none" w:sz="0" w:space="0" w:color="auto"/>
                <w:left w:val="none" w:sz="0" w:space="0" w:color="auto"/>
                <w:bottom w:val="none" w:sz="0" w:space="0" w:color="auto"/>
                <w:right w:val="none" w:sz="0" w:space="0" w:color="auto"/>
              </w:divBdr>
            </w:div>
          </w:divsChild>
        </w:div>
        <w:div w:id="1246328">
          <w:marLeft w:val="0"/>
          <w:marRight w:val="0"/>
          <w:marTop w:val="0"/>
          <w:marBottom w:val="0"/>
          <w:divBdr>
            <w:top w:val="none" w:sz="0" w:space="0" w:color="auto"/>
            <w:left w:val="none" w:sz="0" w:space="0" w:color="auto"/>
            <w:bottom w:val="none" w:sz="0" w:space="0" w:color="auto"/>
            <w:right w:val="none" w:sz="0" w:space="0" w:color="auto"/>
          </w:divBdr>
          <w:divsChild>
            <w:div w:id="30545308">
              <w:marLeft w:val="0"/>
              <w:marRight w:val="0"/>
              <w:marTop w:val="0"/>
              <w:marBottom w:val="0"/>
              <w:divBdr>
                <w:top w:val="none" w:sz="0" w:space="0" w:color="auto"/>
                <w:left w:val="none" w:sz="0" w:space="0" w:color="auto"/>
                <w:bottom w:val="none" w:sz="0" w:space="0" w:color="auto"/>
                <w:right w:val="none" w:sz="0" w:space="0" w:color="auto"/>
              </w:divBdr>
            </w:div>
          </w:divsChild>
        </w:div>
        <w:div w:id="799346914">
          <w:marLeft w:val="0"/>
          <w:marRight w:val="0"/>
          <w:marTop w:val="0"/>
          <w:marBottom w:val="0"/>
          <w:divBdr>
            <w:top w:val="none" w:sz="0" w:space="0" w:color="auto"/>
            <w:left w:val="none" w:sz="0" w:space="0" w:color="auto"/>
            <w:bottom w:val="none" w:sz="0" w:space="0" w:color="auto"/>
            <w:right w:val="none" w:sz="0" w:space="0" w:color="auto"/>
          </w:divBdr>
          <w:divsChild>
            <w:div w:id="20388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7727">
      <w:bodyDiv w:val="1"/>
      <w:marLeft w:val="0"/>
      <w:marRight w:val="0"/>
      <w:marTop w:val="0"/>
      <w:marBottom w:val="0"/>
      <w:divBdr>
        <w:top w:val="none" w:sz="0" w:space="0" w:color="auto"/>
        <w:left w:val="none" w:sz="0" w:space="0" w:color="auto"/>
        <w:bottom w:val="none" w:sz="0" w:space="0" w:color="auto"/>
        <w:right w:val="none" w:sz="0" w:space="0" w:color="auto"/>
      </w:divBdr>
    </w:div>
    <w:div w:id="976373481">
      <w:bodyDiv w:val="1"/>
      <w:marLeft w:val="0"/>
      <w:marRight w:val="0"/>
      <w:marTop w:val="0"/>
      <w:marBottom w:val="0"/>
      <w:divBdr>
        <w:top w:val="none" w:sz="0" w:space="0" w:color="auto"/>
        <w:left w:val="none" w:sz="0" w:space="0" w:color="auto"/>
        <w:bottom w:val="none" w:sz="0" w:space="0" w:color="auto"/>
        <w:right w:val="none" w:sz="0" w:space="0" w:color="auto"/>
      </w:divBdr>
    </w:div>
    <w:div w:id="998844298">
      <w:bodyDiv w:val="1"/>
      <w:marLeft w:val="0"/>
      <w:marRight w:val="0"/>
      <w:marTop w:val="0"/>
      <w:marBottom w:val="0"/>
      <w:divBdr>
        <w:top w:val="none" w:sz="0" w:space="0" w:color="auto"/>
        <w:left w:val="none" w:sz="0" w:space="0" w:color="auto"/>
        <w:bottom w:val="none" w:sz="0" w:space="0" w:color="auto"/>
        <w:right w:val="none" w:sz="0" w:space="0" w:color="auto"/>
      </w:divBdr>
    </w:div>
    <w:div w:id="1131897689">
      <w:bodyDiv w:val="1"/>
      <w:marLeft w:val="0"/>
      <w:marRight w:val="0"/>
      <w:marTop w:val="0"/>
      <w:marBottom w:val="0"/>
      <w:divBdr>
        <w:top w:val="none" w:sz="0" w:space="0" w:color="auto"/>
        <w:left w:val="none" w:sz="0" w:space="0" w:color="auto"/>
        <w:bottom w:val="none" w:sz="0" w:space="0" w:color="auto"/>
        <w:right w:val="none" w:sz="0" w:space="0" w:color="auto"/>
      </w:divBdr>
    </w:div>
    <w:div w:id="1179466265">
      <w:bodyDiv w:val="1"/>
      <w:marLeft w:val="0"/>
      <w:marRight w:val="0"/>
      <w:marTop w:val="0"/>
      <w:marBottom w:val="0"/>
      <w:divBdr>
        <w:top w:val="none" w:sz="0" w:space="0" w:color="auto"/>
        <w:left w:val="none" w:sz="0" w:space="0" w:color="auto"/>
        <w:bottom w:val="none" w:sz="0" w:space="0" w:color="auto"/>
        <w:right w:val="none" w:sz="0" w:space="0" w:color="auto"/>
      </w:divBdr>
      <w:divsChild>
        <w:div w:id="35394113">
          <w:marLeft w:val="360"/>
          <w:marRight w:val="0"/>
          <w:marTop w:val="200"/>
          <w:marBottom w:val="0"/>
          <w:divBdr>
            <w:top w:val="none" w:sz="0" w:space="0" w:color="auto"/>
            <w:left w:val="none" w:sz="0" w:space="0" w:color="auto"/>
            <w:bottom w:val="none" w:sz="0" w:space="0" w:color="auto"/>
            <w:right w:val="none" w:sz="0" w:space="0" w:color="auto"/>
          </w:divBdr>
        </w:div>
        <w:div w:id="1166364439">
          <w:marLeft w:val="360"/>
          <w:marRight w:val="0"/>
          <w:marTop w:val="200"/>
          <w:marBottom w:val="0"/>
          <w:divBdr>
            <w:top w:val="none" w:sz="0" w:space="0" w:color="auto"/>
            <w:left w:val="none" w:sz="0" w:space="0" w:color="auto"/>
            <w:bottom w:val="none" w:sz="0" w:space="0" w:color="auto"/>
            <w:right w:val="none" w:sz="0" w:space="0" w:color="auto"/>
          </w:divBdr>
        </w:div>
        <w:div w:id="1419869051">
          <w:marLeft w:val="360"/>
          <w:marRight w:val="0"/>
          <w:marTop w:val="200"/>
          <w:marBottom w:val="0"/>
          <w:divBdr>
            <w:top w:val="none" w:sz="0" w:space="0" w:color="auto"/>
            <w:left w:val="none" w:sz="0" w:space="0" w:color="auto"/>
            <w:bottom w:val="none" w:sz="0" w:space="0" w:color="auto"/>
            <w:right w:val="none" w:sz="0" w:space="0" w:color="auto"/>
          </w:divBdr>
        </w:div>
        <w:div w:id="342320974">
          <w:marLeft w:val="360"/>
          <w:marRight w:val="0"/>
          <w:marTop w:val="200"/>
          <w:marBottom w:val="0"/>
          <w:divBdr>
            <w:top w:val="none" w:sz="0" w:space="0" w:color="auto"/>
            <w:left w:val="none" w:sz="0" w:space="0" w:color="auto"/>
            <w:bottom w:val="none" w:sz="0" w:space="0" w:color="auto"/>
            <w:right w:val="none" w:sz="0" w:space="0" w:color="auto"/>
          </w:divBdr>
        </w:div>
      </w:divsChild>
    </w:div>
    <w:div w:id="1196767935">
      <w:bodyDiv w:val="1"/>
      <w:marLeft w:val="0"/>
      <w:marRight w:val="0"/>
      <w:marTop w:val="0"/>
      <w:marBottom w:val="0"/>
      <w:divBdr>
        <w:top w:val="none" w:sz="0" w:space="0" w:color="auto"/>
        <w:left w:val="none" w:sz="0" w:space="0" w:color="auto"/>
        <w:bottom w:val="none" w:sz="0" w:space="0" w:color="auto"/>
        <w:right w:val="none" w:sz="0" w:space="0" w:color="auto"/>
      </w:divBdr>
    </w:div>
    <w:div w:id="1254322186">
      <w:bodyDiv w:val="1"/>
      <w:marLeft w:val="0"/>
      <w:marRight w:val="0"/>
      <w:marTop w:val="0"/>
      <w:marBottom w:val="0"/>
      <w:divBdr>
        <w:top w:val="none" w:sz="0" w:space="0" w:color="auto"/>
        <w:left w:val="none" w:sz="0" w:space="0" w:color="auto"/>
        <w:bottom w:val="none" w:sz="0" w:space="0" w:color="auto"/>
        <w:right w:val="none" w:sz="0" w:space="0" w:color="auto"/>
      </w:divBdr>
    </w:div>
    <w:div w:id="1280069123">
      <w:bodyDiv w:val="1"/>
      <w:marLeft w:val="0"/>
      <w:marRight w:val="0"/>
      <w:marTop w:val="0"/>
      <w:marBottom w:val="0"/>
      <w:divBdr>
        <w:top w:val="none" w:sz="0" w:space="0" w:color="auto"/>
        <w:left w:val="none" w:sz="0" w:space="0" w:color="auto"/>
        <w:bottom w:val="none" w:sz="0" w:space="0" w:color="auto"/>
        <w:right w:val="none" w:sz="0" w:space="0" w:color="auto"/>
      </w:divBdr>
    </w:div>
    <w:div w:id="1340306441">
      <w:bodyDiv w:val="1"/>
      <w:marLeft w:val="0"/>
      <w:marRight w:val="0"/>
      <w:marTop w:val="0"/>
      <w:marBottom w:val="0"/>
      <w:divBdr>
        <w:top w:val="none" w:sz="0" w:space="0" w:color="auto"/>
        <w:left w:val="none" w:sz="0" w:space="0" w:color="auto"/>
        <w:bottom w:val="none" w:sz="0" w:space="0" w:color="auto"/>
        <w:right w:val="none" w:sz="0" w:space="0" w:color="auto"/>
      </w:divBdr>
    </w:div>
    <w:div w:id="1438676920">
      <w:bodyDiv w:val="1"/>
      <w:marLeft w:val="0"/>
      <w:marRight w:val="0"/>
      <w:marTop w:val="0"/>
      <w:marBottom w:val="0"/>
      <w:divBdr>
        <w:top w:val="none" w:sz="0" w:space="0" w:color="auto"/>
        <w:left w:val="none" w:sz="0" w:space="0" w:color="auto"/>
        <w:bottom w:val="none" w:sz="0" w:space="0" w:color="auto"/>
        <w:right w:val="none" w:sz="0" w:space="0" w:color="auto"/>
      </w:divBdr>
    </w:div>
    <w:div w:id="1504319035">
      <w:bodyDiv w:val="1"/>
      <w:marLeft w:val="0"/>
      <w:marRight w:val="0"/>
      <w:marTop w:val="0"/>
      <w:marBottom w:val="0"/>
      <w:divBdr>
        <w:top w:val="none" w:sz="0" w:space="0" w:color="auto"/>
        <w:left w:val="none" w:sz="0" w:space="0" w:color="auto"/>
        <w:bottom w:val="none" w:sz="0" w:space="0" w:color="auto"/>
        <w:right w:val="none" w:sz="0" w:space="0" w:color="auto"/>
      </w:divBdr>
    </w:div>
    <w:div w:id="1578007669">
      <w:bodyDiv w:val="1"/>
      <w:marLeft w:val="0"/>
      <w:marRight w:val="0"/>
      <w:marTop w:val="0"/>
      <w:marBottom w:val="0"/>
      <w:divBdr>
        <w:top w:val="none" w:sz="0" w:space="0" w:color="auto"/>
        <w:left w:val="none" w:sz="0" w:space="0" w:color="auto"/>
        <w:bottom w:val="none" w:sz="0" w:space="0" w:color="auto"/>
        <w:right w:val="none" w:sz="0" w:space="0" w:color="auto"/>
      </w:divBdr>
    </w:div>
    <w:div w:id="1583297789">
      <w:bodyDiv w:val="1"/>
      <w:marLeft w:val="0"/>
      <w:marRight w:val="0"/>
      <w:marTop w:val="0"/>
      <w:marBottom w:val="0"/>
      <w:divBdr>
        <w:top w:val="none" w:sz="0" w:space="0" w:color="auto"/>
        <w:left w:val="none" w:sz="0" w:space="0" w:color="auto"/>
        <w:bottom w:val="none" w:sz="0" w:space="0" w:color="auto"/>
        <w:right w:val="none" w:sz="0" w:space="0" w:color="auto"/>
      </w:divBdr>
    </w:div>
    <w:div w:id="1683241115">
      <w:bodyDiv w:val="1"/>
      <w:marLeft w:val="0"/>
      <w:marRight w:val="0"/>
      <w:marTop w:val="0"/>
      <w:marBottom w:val="0"/>
      <w:divBdr>
        <w:top w:val="none" w:sz="0" w:space="0" w:color="auto"/>
        <w:left w:val="none" w:sz="0" w:space="0" w:color="auto"/>
        <w:bottom w:val="none" w:sz="0" w:space="0" w:color="auto"/>
        <w:right w:val="none" w:sz="0" w:space="0" w:color="auto"/>
      </w:divBdr>
    </w:div>
    <w:div w:id="208798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dpi.com/books/reprint/1764-sustainable-human-resource-management" TargetMode="External"/><Relationship Id="rId21" Type="http://schemas.openxmlformats.org/officeDocument/2006/relationships/diagramQuickStyle" Target="diagrams/quickStyle1.xml"/><Relationship Id="rId34" Type="http://schemas.openxmlformats.org/officeDocument/2006/relationships/hyperlink" Target="https://www.emerald.com/books/oa-edited-volume/16843/Talent-Management-in-Higher-Education" TargetMode="External"/><Relationship Id="rId42" Type="http://schemas.openxmlformats.org/officeDocument/2006/relationships/hyperlink" Target="https://usaf.ac.za/communities-of-practice/human-resource-directors-forum/" TargetMode="External"/><Relationship Id="rId47" Type="http://schemas.openxmlformats.org/officeDocument/2006/relationships/hyperlink" Target="https://www.ucl.ac.uk/human-resources/ucl-australia-conditions-service-academic-staff" TargetMode="External"/><Relationship Id="rId50" Type="http://schemas.openxmlformats.org/officeDocument/2006/relationships/hyperlink" Target="https://www.surrey.ac.uk/sites/default/files/competency-framework.pdf" TargetMode="External"/><Relationship Id="rId55" Type="http://schemas.openxmlformats.org/officeDocument/2006/relationships/hyperlink" Target="https://i.unisa.edu.au/siteassets/human-resources/ptc/files/policy-consultation-documents/code-of-conduct.pdf" TargetMode="External"/><Relationship Id="rId63" Type="http://schemas.openxmlformats.org/officeDocument/2006/relationships/hyperlink" Target="https://www.cupahr.org/issue/feature/the-higher-ed-employee-retention-crisis-and-what-to-do-about-it/"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9" Type="http://schemas.openxmlformats.org/officeDocument/2006/relationships/hyperlink" Target="https://directory.doabooks.org/handle/20.500.12854/130056" TargetMode="Externa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s://ecampusontario.pressbooks.pub/humanresourcesmgmt/" TargetMode="External"/><Relationship Id="rId37" Type="http://schemas.openxmlformats.org/officeDocument/2006/relationships/hyperlink" Target="https://www.acu.ac.uk/members/networks-and-communities/hr-in-he-community/" TargetMode="External"/><Relationship Id="rId40" Type="http://schemas.openxmlformats.org/officeDocument/2006/relationships/hyperlink" Target="https://shehre.net/" TargetMode="External"/><Relationship Id="rId45" Type="http://schemas.openxmlformats.org/officeDocument/2006/relationships/hyperlink" Target="https://uct.ac.za/administration/policies" TargetMode="External"/><Relationship Id="rId53" Type="http://schemas.openxmlformats.org/officeDocument/2006/relationships/hyperlink" Target="https://policy.unisq.edu.au/documents/13279PL" TargetMode="External"/><Relationship Id="rId58" Type="http://schemas.openxmlformats.org/officeDocument/2006/relationships/hyperlink" Target="https://www.hr.admin.cam.ac.uk/workforce-planning-toolkit" TargetMode="External"/><Relationship Id="rId66"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yperlink" Target="https://ujcontent.uj.ac.za/esploro/outputs/graduate/Retention-strategies-for-millennial-academics-in/9927205507691" TargetMode="External"/><Relationship Id="rId19" Type="http://schemas.openxmlformats.org/officeDocument/2006/relationships/diagramData" Target="diagrams/data1.xml"/><Relationship Id="rId14" Type="http://schemas.openxmlformats.org/officeDocument/2006/relationships/hyperlink" Target="https://creativecommons.org/licenses/by/4.0/" TargetMode="External"/><Relationship Id="rId22" Type="http://schemas.openxmlformats.org/officeDocument/2006/relationships/diagramColors" Target="diagrams/colors1.xml"/><Relationship Id="rId27" Type="http://schemas.openxmlformats.org/officeDocument/2006/relationships/hyperlink" Target="https://directory.doabooks.org/handle/20.500.12854/140334" TargetMode="External"/><Relationship Id="rId30" Type="http://schemas.openxmlformats.org/officeDocument/2006/relationships/hyperlink" Target="https://biz.libretexts.org/Bookshelves/Management/Beginning_Management_of_Human_Resources" TargetMode="External"/><Relationship Id="rId35" Type="http://schemas.openxmlformats.org/officeDocument/2006/relationships/hyperlink" Target="https://www.td.org/" TargetMode="External"/><Relationship Id="rId43" Type="http://schemas.openxmlformats.org/officeDocument/2006/relationships/hyperlink" Target="https://www.lmu.edu.ng/XownCMS/assets/documents/staff_handbook.pdf" TargetMode="External"/><Relationship Id="rId48" Type="http://schemas.openxmlformats.org/officeDocument/2006/relationships/hyperlink" Target="https://hr.uct.ac.za/sites/default/files/media/documents/hr_uct_ac_za/386/UCT-Competency-Framework-Version5-Jan2021.pdf" TargetMode="External"/><Relationship Id="rId56" Type="http://schemas.openxmlformats.org/officeDocument/2006/relationships/hyperlink" Target="https://www.up.ac.za/media/shared/5/ZP_Files/Policies/code-of-conduct-for-employees.zp136084.pdf" TargetMode="External"/><Relationship Id="rId64"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oerafrica.org/continuous-professional-development-frameworks" TargetMode="External"/><Relationship Id="rId3" Type="http://schemas.openxmlformats.org/officeDocument/2006/relationships/customXml" Target="../customXml/item3.xml"/><Relationship Id="rId12" Type="http://schemas.openxmlformats.org/officeDocument/2006/relationships/hyperlink" Target="http://creativecommons.org/licenses/by/3.0/" TargetMode="External"/><Relationship Id="rId17" Type="http://schemas.openxmlformats.org/officeDocument/2006/relationships/hyperlink" Target="http://www.oerafrica.org" TargetMode="External"/><Relationship Id="rId25" Type="http://schemas.openxmlformats.org/officeDocument/2006/relationships/hyperlink" Target="https://directory.doabooks.org/handle/20.500.12854/140334" TargetMode="External"/><Relationship Id="rId33" Type="http://schemas.openxmlformats.org/officeDocument/2006/relationships/hyperlink" Target="https://directory.doabooks.org/handle/20.500.12854/130980" TargetMode="External"/><Relationship Id="rId38" Type="http://schemas.openxmlformats.org/officeDocument/2006/relationships/hyperlink" Target="https://www.cupahr.org/" TargetMode="External"/><Relationship Id="rId46" Type="http://schemas.openxmlformats.org/officeDocument/2006/relationships/hyperlink" Target="https://human-resources.ed.ac.uk/policies-guidance/conditions-service" TargetMode="External"/><Relationship Id="rId59" Type="http://schemas.openxmlformats.org/officeDocument/2006/relationships/hyperlink" Target="https://www.ucop.edu/local-human-resources/_files/manager-resources/workforce-plan-phases-1-5_11-6-19.pdf" TargetMode="External"/><Relationship Id="rId67" Type="http://schemas.openxmlformats.org/officeDocument/2006/relationships/fontTable" Target="fontTable.xml"/><Relationship Id="rId20" Type="http://schemas.openxmlformats.org/officeDocument/2006/relationships/diagramLayout" Target="diagrams/layout1.xml"/><Relationship Id="rId41" Type="http://schemas.openxmlformats.org/officeDocument/2006/relationships/hyperlink" Target="https://www.shrm.org/home" TargetMode="External"/><Relationship Id="rId54" Type="http://schemas.openxmlformats.org/officeDocument/2006/relationships/hyperlink" Target="https://www.stithian.com/uploads/files/Information/Code_of_Conduct_for_Staff_-_March_2021.pdf" TargetMode="External"/><Relationship Id="rId62" Type="http://schemas.openxmlformats.org/officeDocument/2006/relationships/hyperlink" Target="https://sajhrm.co.za/index.php/sajhrm/article/view/1975/3036"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oerafrica.org" TargetMode="External"/><Relationship Id="rId23" Type="http://schemas.microsoft.com/office/2007/relationships/diagramDrawing" Target="diagrams/drawing1.xml"/><Relationship Id="rId28" Type="http://schemas.openxmlformats.org/officeDocument/2006/relationships/hyperlink" Target="https://rm.coe.int/human-resources-in-education-management/168075e905" TargetMode="External"/><Relationship Id="rId36" Type="http://schemas.openxmlformats.org/officeDocument/2006/relationships/hyperlink" Target="https://aau.org/" TargetMode="External"/><Relationship Id="rId49" Type="http://schemas.openxmlformats.org/officeDocument/2006/relationships/hyperlink" Target="https://www.london.ac.uk/sites/default/files/governance/Universtiy-of-london-Competency-Model.pdf" TargetMode="External"/><Relationship Id="rId57" Type="http://schemas.openxmlformats.org/officeDocument/2006/relationships/hyperlink" Target="https://hr.uci.edu/partnership/futureofwork/pdf/Staff-Workforce-Planning-Template.pdf" TargetMode="External"/><Relationship Id="rId10" Type="http://schemas.openxmlformats.org/officeDocument/2006/relationships/footnotes" Target="footnotes.xml"/><Relationship Id="rId31" Type="http://schemas.openxmlformats.org/officeDocument/2006/relationships/hyperlink" Target="https://directory.doabooks.org/handle/20.500.12854/129570" TargetMode="External"/><Relationship Id="rId44" Type="http://schemas.openxmlformats.org/officeDocument/2006/relationships/hyperlink" Target="https://www5.open.ac.uk/foi/main/policies-and-procedures/human-resources" TargetMode="External"/><Relationship Id="rId52" Type="http://schemas.openxmlformats.org/officeDocument/2006/relationships/hyperlink" Target="https://www.notredame.edu.au/__data/assets/pdf_file/0008/2105/Employee-Code-of-Conduct-and-Ethical-Behaviour.pdf" TargetMode="External"/><Relationship Id="rId60" Type="http://schemas.openxmlformats.org/officeDocument/2006/relationships/hyperlink" Target="https://www.aihr.com/blog/strategic-workforce-planning/"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2.png"/><Relationship Id="rId39" Type="http://schemas.openxmlformats.org/officeDocument/2006/relationships/hyperlink" Target="https://www.ihrim.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biblio.ugent.be/publication/7003407" TargetMode="External"/><Relationship Id="rId1" Type="http://schemas.openxmlformats.org/officeDocument/2006/relationships/hyperlink" Target="https://www.oerafrica.org/continuous-professional-development-framewor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ge\Neil%20Butcher%20&amp;%20Assoc%20Dropbox\Monge%20Tlaka\ndthenwhat%20and%20NBA\DLR%20and%20EMIS\Word%20Template\Aptos%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6CF49F-C1B8-4D72-A29A-4E72BA55B5CA}"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ZA"/>
        </a:p>
      </dgm:t>
    </dgm:pt>
    <dgm:pt modelId="{D1DA2F8B-8881-4F17-B7FB-F3BE7AEC3A9C}">
      <dgm:prSet phldrT="[Text]"/>
      <dgm:spPr/>
      <dgm:t>
        <a:bodyPr/>
        <a:lstStyle/>
        <a:p>
          <a:r>
            <a:rPr lang="en-ZA"/>
            <a:t>HR and the work environment at individual level</a:t>
          </a:r>
        </a:p>
      </dgm:t>
    </dgm:pt>
    <dgm:pt modelId="{50D77A22-33B1-4AA6-9FE0-C89E8C6DC87C}" type="parTrans" cxnId="{1FA7B14B-C2B0-4E2B-8966-B50CC7F6C71B}">
      <dgm:prSet/>
      <dgm:spPr/>
      <dgm:t>
        <a:bodyPr/>
        <a:lstStyle/>
        <a:p>
          <a:endParaRPr lang="en-ZA"/>
        </a:p>
      </dgm:t>
    </dgm:pt>
    <dgm:pt modelId="{C0F98C39-9A8F-4352-90E6-348377AA257E}" type="sibTrans" cxnId="{1FA7B14B-C2B0-4E2B-8966-B50CC7F6C71B}">
      <dgm:prSet/>
      <dgm:spPr/>
      <dgm:t>
        <a:bodyPr/>
        <a:lstStyle/>
        <a:p>
          <a:endParaRPr lang="en-ZA"/>
        </a:p>
      </dgm:t>
    </dgm:pt>
    <dgm:pt modelId="{2997EFCF-3DC3-4044-80C9-D019BFBBE726}">
      <dgm:prSet phldrT="[Text]"/>
      <dgm:spPr/>
      <dgm:t>
        <a:bodyPr/>
        <a:lstStyle/>
        <a:p>
          <a:r>
            <a:rPr lang="en-ZA"/>
            <a:t>Conditions of Service (contractual agreement, including agreed benefits and remuneration in line with job description)</a:t>
          </a:r>
        </a:p>
      </dgm:t>
    </dgm:pt>
    <dgm:pt modelId="{4E522404-426A-4A6E-92B6-7121CF6414E0}" type="parTrans" cxnId="{7C5EB2A3-0F2F-46BA-BF69-320FBFDB0A35}">
      <dgm:prSet/>
      <dgm:spPr/>
      <dgm:t>
        <a:bodyPr/>
        <a:lstStyle/>
        <a:p>
          <a:endParaRPr lang="en-ZA"/>
        </a:p>
      </dgm:t>
    </dgm:pt>
    <dgm:pt modelId="{A03AD217-7160-4B26-BB96-FE2980DDA985}" type="sibTrans" cxnId="{7C5EB2A3-0F2F-46BA-BF69-320FBFDB0A35}">
      <dgm:prSet/>
      <dgm:spPr/>
      <dgm:t>
        <a:bodyPr/>
        <a:lstStyle/>
        <a:p>
          <a:endParaRPr lang="en-ZA"/>
        </a:p>
      </dgm:t>
    </dgm:pt>
    <dgm:pt modelId="{496D4109-A115-47BA-BBE0-2AF554986238}">
      <dgm:prSet phldrT="[Text]"/>
      <dgm:spPr/>
      <dgm:t>
        <a:bodyPr/>
        <a:lstStyle/>
        <a:p>
          <a:r>
            <a:rPr lang="en-ZA"/>
            <a:t>Development and support opportunities (ranging from orientation to continued professional development or study benefits, to staff wellbeing)</a:t>
          </a:r>
        </a:p>
      </dgm:t>
    </dgm:pt>
    <dgm:pt modelId="{476F89F3-9A73-4A55-92EF-DDFE0D0B58C7}" type="parTrans" cxnId="{68919A73-2612-48D9-B680-C1407EEB911A}">
      <dgm:prSet/>
      <dgm:spPr/>
      <dgm:t>
        <a:bodyPr/>
        <a:lstStyle/>
        <a:p>
          <a:endParaRPr lang="en-ZA"/>
        </a:p>
      </dgm:t>
    </dgm:pt>
    <dgm:pt modelId="{2C2F6E39-EA90-4011-956D-6FD4B1727A60}" type="sibTrans" cxnId="{68919A73-2612-48D9-B680-C1407EEB911A}">
      <dgm:prSet/>
      <dgm:spPr/>
      <dgm:t>
        <a:bodyPr/>
        <a:lstStyle/>
        <a:p>
          <a:endParaRPr lang="en-ZA"/>
        </a:p>
      </dgm:t>
    </dgm:pt>
    <dgm:pt modelId="{AF03E000-C8E3-42E1-B6E4-5F1659F96739}">
      <dgm:prSet phldrT="[Text]"/>
      <dgm:spPr/>
      <dgm:t>
        <a:bodyPr/>
        <a:lstStyle/>
        <a:p>
          <a:r>
            <a:rPr lang="en-ZA"/>
            <a:t>HR at the organisational level</a:t>
          </a:r>
        </a:p>
      </dgm:t>
    </dgm:pt>
    <dgm:pt modelId="{455756B3-7611-4BB4-811C-53FCE25A0EDA}" type="parTrans" cxnId="{AA91F788-46B9-4CBD-911A-B91AAD3B6137}">
      <dgm:prSet/>
      <dgm:spPr/>
      <dgm:t>
        <a:bodyPr/>
        <a:lstStyle/>
        <a:p>
          <a:endParaRPr lang="en-ZA"/>
        </a:p>
      </dgm:t>
    </dgm:pt>
    <dgm:pt modelId="{F4E80D44-099C-40E8-AC2E-01C07FC33247}" type="sibTrans" cxnId="{AA91F788-46B9-4CBD-911A-B91AAD3B6137}">
      <dgm:prSet/>
      <dgm:spPr/>
      <dgm:t>
        <a:bodyPr/>
        <a:lstStyle/>
        <a:p>
          <a:endParaRPr lang="en-ZA"/>
        </a:p>
      </dgm:t>
    </dgm:pt>
    <dgm:pt modelId="{93A455EB-C250-415D-85E5-5482E55DC29A}">
      <dgm:prSet phldrT="[Text]"/>
      <dgm:spPr/>
      <dgm:t>
        <a:bodyPr/>
        <a:lstStyle/>
        <a:p>
          <a:r>
            <a:rPr lang="en-ZA"/>
            <a:t>Strategic talent management (workforce planning, recruitment, special appointments)</a:t>
          </a:r>
        </a:p>
      </dgm:t>
    </dgm:pt>
    <dgm:pt modelId="{CE1BC961-3C42-4468-AC34-52D2F3FC3512}" type="parTrans" cxnId="{229D191F-B286-40C1-B159-56DE71D9FBAC}">
      <dgm:prSet/>
      <dgm:spPr/>
      <dgm:t>
        <a:bodyPr/>
        <a:lstStyle/>
        <a:p>
          <a:endParaRPr lang="en-ZA"/>
        </a:p>
      </dgm:t>
    </dgm:pt>
    <dgm:pt modelId="{F2D2FF01-DB50-4A74-BB15-FC343D93B5C3}" type="sibTrans" cxnId="{229D191F-B286-40C1-B159-56DE71D9FBAC}">
      <dgm:prSet/>
      <dgm:spPr/>
      <dgm:t>
        <a:bodyPr/>
        <a:lstStyle/>
        <a:p>
          <a:endParaRPr lang="en-ZA"/>
        </a:p>
      </dgm:t>
    </dgm:pt>
    <dgm:pt modelId="{D92FDD0D-783C-40FA-984C-1DDE099123CD}">
      <dgm:prSet phldrT="[Text]"/>
      <dgm:spPr/>
      <dgm:t>
        <a:bodyPr/>
        <a:lstStyle/>
        <a:p>
          <a:r>
            <a:rPr lang="en-ZA"/>
            <a:t>HR data management and technology</a:t>
          </a:r>
        </a:p>
      </dgm:t>
    </dgm:pt>
    <dgm:pt modelId="{3AA12BF2-E402-4973-BB8C-D777013CFCEA}" type="parTrans" cxnId="{9B674FB6-AEC7-4312-AE6D-27EE0550DC0A}">
      <dgm:prSet/>
      <dgm:spPr/>
      <dgm:t>
        <a:bodyPr/>
        <a:lstStyle/>
        <a:p>
          <a:endParaRPr lang="en-ZA"/>
        </a:p>
      </dgm:t>
    </dgm:pt>
    <dgm:pt modelId="{7C2BB7FE-0518-448D-9C6E-26282C9B8DE1}" type="sibTrans" cxnId="{9B674FB6-AEC7-4312-AE6D-27EE0550DC0A}">
      <dgm:prSet/>
      <dgm:spPr/>
      <dgm:t>
        <a:bodyPr/>
        <a:lstStyle/>
        <a:p>
          <a:endParaRPr lang="en-ZA"/>
        </a:p>
      </dgm:t>
    </dgm:pt>
    <dgm:pt modelId="{90BB1644-2FCC-4C9E-9B9A-95622AA55DC8}" type="pres">
      <dgm:prSet presAssocID="{496CF49F-C1B8-4D72-A29A-4E72BA55B5CA}" presName="Name0" presStyleCnt="0">
        <dgm:presLayoutVars>
          <dgm:dir/>
          <dgm:animLvl val="lvl"/>
          <dgm:resizeHandles val="exact"/>
        </dgm:presLayoutVars>
      </dgm:prSet>
      <dgm:spPr/>
    </dgm:pt>
    <dgm:pt modelId="{4AA6E5E1-4534-4F3C-B4E9-FFAA92829CF3}" type="pres">
      <dgm:prSet presAssocID="{D1DA2F8B-8881-4F17-B7FB-F3BE7AEC3A9C}" presName="linNode" presStyleCnt="0"/>
      <dgm:spPr/>
    </dgm:pt>
    <dgm:pt modelId="{B978BE7D-88E0-4A41-85C7-943151C9D86A}" type="pres">
      <dgm:prSet presAssocID="{D1DA2F8B-8881-4F17-B7FB-F3BE7AEC3A9C}" presName="parentText" presStyleLbl="node1" presStyleIdx="0" presStyleCnt="2">
        <dgm:presLayoutVars>
          <dgm:chMax val="1"/>
          <dgm:bulletEnabled val="1"/>
        </dgm:presLayoutVars>
      </dgm:prSet>
      <dgm:spPr/>
    </dgm:pt>
    <dgm:pt modelId="{3A184AC5-53EC-4E65-BEB1-760E121E2782}" type="pres">
      <dgm:prSet presAssocID="{D1DA2F8B-8881-4F17-B7FB-F3BE7AEC3A9C}" presName="descendantText" presStyleLbl="alignAccFollowNode1" presStyleIdx="0" presStyleCnt="2">
        <dgm:presLayoutVars>
          <dgm:bulletEnabled val="1"/>
        </dgm:presLayoutVars>
      </dgm:prSet>
      <dgm:spPr/>
    </dgm:pt>
    <dgm:pt modelId="{1A615963-6CF0-4EE4-A41C-225B06E30D36}" type="pres">
      <dgm:prSet presAssocID="{C0F98C39-9A8F-4352-90E6-348377AA257E}" presName="sp" presStyleCnt="0"/>
      <dgm:spPr/>
    </dgm:pt>
    <dgm:pt modelId="{87204ECC-3E32-4232-A46A-CA7B1BB65314}" type="pres">
      <dgm:prSet presAssocID="{AF03E000-C8E3-42E1-B6E4-5F1659F96739}" presName="linNode" presStyleCnt="0"/>
      <dgm:spPr/>
    </dgm:pt>
    <dgm:pt modelId="{2A5C8F4E-D390-42EC-A9C4-09B23DDB3BD3}" type="pres">
      <dgm:prSet presAssocID="{AF03E000-C8E3-42E1-B6E4-5F1659F96739}" presName="parentText" presStyleLbl="node1" presStyleIdx="1" presStyleCnt="2">
        <dgm:presLayoutVars>
          <dgm:chMax val="1"/>
          <dgm:bulletEnabled val="1"/>
        </dgm:presLayoutVars>
      </dgm:prSet>
      <dgm:spPr/>
    </dgm:pt>
    <dgm:pt modelId="{77740DD4-5C44-49A8-B530-1FAB52D8CF7F}" type="pres">
      <dgm:prSet presAssocID="{AF03E000-C8E3-42E1-B6E4-5F1659F96739}" presName="descendantText" presStyleLbl="alignAccFollowNode1" presStyleIdx="1" presStyleCnt="2">
        <dgm:presLayoutVars>
          <dgm:bulletEnabled val="1"/>
        </dgm:presLayoutVars>
      </dgm:prSet>
      <dgm:spPr/>
    </dgm:pt>
  </dgm:ptLst>
  <dgm:cxnLst>
    <dgm:cxn modelId="{229D191F-B286-40C1-B159-56DE71D9FBAC}" srcId="{AF03E000-C8E3-42E1-B6E4-5F1659F96739}" destId="{93A455EB-C250-415D-85E5-5482E55DC29A}" srcOrd="0" destOrd="0" parTransId="{CE1BC961-3C42-4468-AC34-52D2F3FC3512}" sibTransId="{F2D2FF01-DB50-4A74-BB15-FC343D93B5C3}"/>
    <dgm:cxn modelId="{1FA7B14B-C2B0-4E2B-8966-B50CC7F6C71B}" srcId="{496CF49F-C1B8-4D72-A29A-4E72BA55B5CA}" destId="{D1DA2F8B-8881-4F17-B7FB-F3BE7AEC3A9C}" srcOrd="0" destOrd="0" parTransId="{50D77A22-33B1-4AA6-9FE0-C89E8C6DC87C}" sibTransId="{C0F98C39-9A8F-4352-90E6-348377AA257E}"/>
    <dgm:cxn modelId="{68919A73-2612-48D9-B680-C1407EEB911A}" srcId="{D1DA2F8B-8881-4F17-B7FB-F3BE7AEC3A9C}" destId="{496D4109-A115-47BA-BBE0-2AF554986238}" srcOrd="1" destOrd="0" parTransId="{476F89F3-9A73-4A55-92EF-DDFE0D0B58C7}" sibTransId="{2C2F6E39-EA90-4011-956D-6FD4B1727A60}"/>
    <dgm:cxn modelId="{AA91F788-46B9-4CBD-911A-B91AAD3B6137}" srcId="{496CF49F-C1B8-4D72-A29A-4E72BA55B5CA}" destId="{AF03E000-C8E3-42E1-B6E4-5F1659F96739}" srcOrd="1" destOrd="0" parTransId="{455756B3-7611-4BB4-811C-53FCE25A0EDA}" sibTransId="{F4E80D44-099C-40E8-AC2E-01C07FC33247}"/>
    <dgm:cxn modelId="{7C5EB2A3-0F2F-46BA-BF69-320FBFDB0A35}" srcId="{D1DA2F8B-8881-4F17-B7FB-F3BE7AEC3A9C}" destId="{2997EFCF-3DC3-4044-80C9-D019BFBBE726}" srcOrd="0" destOrd="0" parTransId="{4E522404-426A-4A6E-92B6-7121CF6414E0}" sibTransId="{A03AD217-7160-4B26-BB96-FE2980DDA985}"/>
    <dgm:cxn modelId="{D845CCA4-565E-4507-B089-097A2418B8B9}" type="presOf" srcId="{2997EFCF-3DC3-4044-80C9-D019BFBBE726}" destId="{3A184AC5-53EC-4E65-BEB1-760E121E2782}" srcOrd="0" destOrd="0" presId="urn:microsoft.com/office/officeart/2005/8/layout/vList5"/>
    <dgm:cxn modelId="{A4752AB5-EA31-422A-A16A-BB4952D742D3}" type="presOf" srcId="{D92FDD0D-783C-40FA-984C-1DDE099123CD}" destId="{77740DD4-5C44-49A8-B530-1FAB52D8CF7F}" srcOrd="0" destOrd="1" presId="urn:microsoft.com/office/officeart/2005/8/layout/vList5"/>
    <dgm:cxn modelId="{9B674FB6-AEC7-4312-AE6D-27EE0550DC0A}" srcId="{AF03E000-C8E3-42E1-B6E4-5F1659F96739}" destId="{D92FDD0D-783C-40FA-984C-1DDE099123CD}" srcOrd="1" destOrd="0" parTransId="{3AA12BF2-E402-4973-BB8C-D777013CFCEA}" sibTransId="{7C2BB7FE-0518-448D-9C6E-26282C9B8DE1}"/>
    <dgm:cxn modelId="{7D4937B7-C521-43E8-8F31-1FCD9D6324E7}" type="presOf" srcId="{496CF49F-C1B8-4D72-A29A-4E72BA55B5CA}" destId="{90BB1644-2FCC-4C9E-9B9A-95622AA55DC8}" srcOrd="0" destOrd="0" presId="urn:microsoft.com/office/officeart/2005/8/layout/vList5"/>
    <dgm:cxn modelId="{8DE09AC7-5F9D-4D4A-A838-0ADA8FE56147}" type="presOf" srcId="{D1DA2F8B-8881-4F17-B7FB-F3BE7AEC3A9C}" destId="{B978BE7D-88E0-4A41-85C7-943151C9D86A}" srcOrd="0" destOrd="0" presId="urn:microsoft.com/office/officeart/2005/8/layout/vList5"/>
    <dgm:cxn modelId="{E3F31CD1-231E-458A-98EE-82E94F7CD81A}" type="presOf" srcId="{AF03E000-C8E3-42E1-B6E4-5F1659F96739}" destId="{2A5C8F4E-D390-42EC-A9C4-09B23DDB3BD3}" srcOrd="0" destOrd="0" presId="urn:microsoft.com/office/officeart/2005/8/layout/vList5"/>
    <dgm:cxn modelId="{C21E2FED-9F73-43BB-9083-BE87E7109D70}" type="presOf" srcId="{93A455EB-C250-415D-85E5-5482E55DC29A}" destId="{77740DD4-5C44-49A8-B530-1FAB52D8CF7F}" srcOrd="0" destOrd="0" presId="urn:microsoft.com/office/officeart/2005/8/layout/vList5"/>
    <dgm:cxn modelId="{260532FD-95D7-4911-9183-A1C0E164125D}" type="presOf" srcId="{496D4109-A115-47BA-BBE0-2AF554986238}" destId="{3A184AC5-53EC-4E65-BEB1-760E121E2782}" srcOrd="0" destOrd="1" presId="urn:microsoft.com/office/officeart/2005/8/layout/vList5"/>
    <dgm:cxn modelId="{F5E2B757-D474-42C1-8A78-D5EEFB0025E8}" type="presParOf" srcId="{90BB1644-2FCC-4C9E-9B9A-95622AA55DC8}" destId="{4AA6E5E1-4534-4F3C-B4E9-FFAA92829CF3}" srcOrd="0" destOrd="0" presId="urn:microsoft.com/office/officeart/2005/8/layout/vList5"/>
    <dgm:cxn modelId="{3F75C758-A96C-45C7-A1E0-B1A96591CB8D}" type="presParOf" srcId="{4AA6E5E1-4534-4F3C-B4E9-FFAA92829CF3}" destId="{B978BE7D-88E0-4A41-85C7-943151C9D86A}" srcOrd="0" destOrd="0" presId="urn:microsoft.com/office/officeart/2005/8/layout/vList5"/>
    <dgm:cxn modelId="{460B2863-B3B3-4F76-8017-110F4AC1BC12}" type="presParOf" srcId="{4AA6E5E1-4534-4F3C-B4E9-FFAA92829CF3}" destId="{3A184AC5-53EC-4E65-BEB1-760E121E2782}" srcOrd="1" destOrd="0" presId="urn:microsoft.com/office/officeart/2005/8/layout/vList5"/>
    <dgm:cxn modelId="{A19A9D8C-1DBC-4914-A50A-6BB9AADEBDB5}" type="presParOf" srcId="{90BB1644-2FCC-4C9E-9B9A-95622AA55DC8}" destId="{1A615963-6CF0-4EE4-A41C-225B06E30D36}" srcOrd="1" destOrd="0" presId="urn:microsoft.com/office/officeart/2005/8/layout/vList5"/>
    <dgm:cxn modelId="{671416CF-943A-401B-92CA-8D452DCFB41E}" type="presParOf" srcId="{90BB1644-2FCC-4C9E-9B9A-95622AA55DC8}" destId="{87204ECC-3E32-4232-A46A-CA7B1BB65314}" srcOrd="2" destOrd="0" presId="urn:microsoft.com/office/officeart/2005/8/layout/vList5"/>
    <dgm:cxn modelId="{B39EA313-E451-4372-94B0-CB707FCBEAD5}" type="presParOf" srcId="{87204ECC-3E32-4232-A46A-CA7B1BB65314}" destId="{2A5C8F4E-D390-42EC-A9C4-09B23DDB3BD3}" srcOrd="0" destOrd="0" presId="urn:microsoft.com/office/officeart/2005/8/layout/vList5"/>
    <dgm:cxn modelId="{CF30AFD9-3E08-4AD4-9AC9-DE0B5DF0E9E4}" type="presParOf" srcId="{87204ECC-3E32-4232-A46A-CA7B1BB65314}" destId="{77740DD4-5C44-49A8-B530-1FAB52D8CF7F}" srcOrd="1" destOrd="0" presId="urn:microsoft.com/office/officeart/2005/8/layout/vList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184AC5-53EC-4E65-BEB1-760E121E2782}">
      <dsp:nvSpPr>
        <dsp:cNvPr id="0" name=""/>
        <dsp:cNvSpPr/>
      </dsp:nvSpPr>
      <dsp:spPr>
        <a:xfrm rot="5400000">
          <a:off x="3104642" y="-1095193"/>
          <a:ext cx="938618" cy="3363719"/>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ZA" sz="900" kern="1200"/>
            <a:t>Conditions of Service (contractual agreement, including agreed benefits and remuneration in line with job description)</a:t>
          </a:r>
        </a:p>
        <a:p>
          <a:pPr marL="57150" lvl="1" indent="-57150" algn="l" defTabSz="400050">
            <a:lnSpc>
              <a:spcPct val="90000"/>
            </a:lnSpc>
            <a:spcBef>
              <a:spcPct val="0"/>
            </a:spcBef>
            <a:spcAft>
              <a:spcPct val="15000"/>
            </a:spcAft>
            <a:buChar char="•"/>
          </a:pPr>
          <a:r>
            <a:rPr lang="en-ZA" sz="900" kern="1200"/>
            <a:t>Development and support opportunities (ranging from orientation to continued professional development or study benefits, to staff wellbeing)</a:t>
          </a:r>
        </a:p>
      </dsp:txBody>
      <dsp:txXfrm rot="-5400000">
        <a:off x="1892092" y="163177"/>
        <a:ext cx="3317899" cy="846978"/>
      </dsp:txXfrm>
    </dsp:sp>
    <dsp:sp modelId="{B978BE7D-88E0-4A41-85C7-943151C9D86A}">
      <dsp:nvSpPr>
        <dsp:cNvPr id="0" name=""/>
        <dsp:cNvSpPr/>
      </dsp:nvSpPr>
      <dsp:spPr>
        <a:xfrm>
          <a:off x="0" y="29"/>
          <a:ext cx="1892092" cy="117327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n-ZA" sz="1800" kern="1200"/>
            <a:t>HR and the work environment at individual level</a:t>
          </a:r>
        </a:p>
      </dsp:txBody>
      <dsp:txXfrm>
        <a:off x="57274" y="57303"/>
        <a:ext cx="1777544" cy="1058725"/>
      </dsp:txXfrm>
    </dsp:sp>
    <dsp:sp modelId="{77740DD4-5C44-49A8-B530-1FAB52D8CF7F}">
      <dsp:nvSpPr>
        <dsp:cNvPr id="0" name=""/>
        <dsp:cNvSpPr/>
      </dsp:nvSpPr>
      <dsp:spPr>
        <a:xfrm rot="5400000">
          <a:off x="3104642" y="136743"/>
          <a:ext cx="938618" cy="3363719"/>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ZA" sz="900" kern="1200"/>
            <a:t>Strategic talent management (workforce planning, recruitment, special appointments)</a:t>
          </a:r>
        </a:p>
        <a:p>
          <a:pPr marL="57150" lvl="1" indent="-57150" algn="l" defTabSz="400050">
            <a:lnSpc>
              <a:spcPct val="90000"/>
            </a:lnSpc>
            <a:spcBef>
              <a:spcPct val="0"/>
            </a:spcBef>
            <a:spcAft>
              <a:spcPct val="15000"/>
            </a:spcAft>
            <a:buChar char="•"/>
          </a:pPr>
          <a:r>
            <a:rPr lang="en-ZA" sz="900" kern="1200"/>
            <a:t>HR data management and technology</a:t>
          </a:r>
        </a:p>
      </dsp:txBody>
      <dsp:txXfrm rot="-5400000">
        <a:off x="1892092" y="1395113"/>
        <a:ext cx="3317899" cy="846978"/>
      </dsp:txXfrm>
    </dsp:sp>
    <dsp:sp modelId="{2A5C8F4E-D390-42EC-A9C4-09B23DDB3BD3}">
      <dsp:nvSpPr>
        <dsp:cNvPr id="0" name=""/>
        <dsp:cNvSpPr/>
      </dsp:nvSpPr>
      <dsp:spPr>
        <a:xfrm>
          <a:off x="0" y="1231966"/>
          <a:ext cx="1892092" cy="117327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n-ZA" sz="1800" kern="1200"/>
            <a:t>HR at the organisational level</a:t>
          </a:r>
        </a:p>
      </dsp:txBody>
      <dsp:txXfrm>
        <a:off x="57274" y="1289240"/>
        <a:ext cx="1777544" cy="1058725"/>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DLR Ecosystem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282a53-827d-4236-8de6-76a7d51d147d" xsi:nil="true"/>
    <lcf76f155ced4ddcb4097134ff3c332f xmlns="924b1161-432c-455c-a55a-309c1c07533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D71C1CDAF967A46A79000F98DB7E18D" ma:contentTypeVersion="18" ma:contentTypeDescription="Create a new document." ma:contentTypeScope="" ma:versionID="d3fb2e58293eec967dd2141277028d89">
  <xsd:schema xmlns:xsd="http://www.w3.org/2001/XMLSchema" xmlns:xs="http://www.w3.org/2001/XMLSchema" xmlns:p="http://schemas.microsoft.com/office/2006/metadata/properties" xmlns:ns2="924b1161-432c-455c-a55a-309c1c07533a" xmlns:ns3="85282a53-827d-4236-8de6-76a7d51d147d" targetNamespace="http://schemas.microsoft.com/office/2006/metadata/properties" ma:root="true" ma:fieldsID="1b7266ee721541e6140b29c8c639818d" ns2:_="" ns3:_="">
    <xsd:import namespace="924b1161-432c-455c-a55a-309c1c07533a"/>
    <xsd:import namespace="85282a53-827d-4236-8de6-76a7d51d14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b1161-432c-455c-a55a-309c1c0753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a50168-aca0-4378-93b9-26abe5ae66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82a53-827d-4236-8de6-76a7d51d14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5e1065-da3f-45e9-8d1d-3b148c6d2d74}" ma:internalName="TaxCatchAll" ma:showField="CatchAllData" ma:web="85282a53-827d-4236-8de6-76a7d51d1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659A28-5968-4457-B88E-2C5C15AFE6D8}">
  <ds:schemaRefs>
    <ds:schemaRef ds:uri="http://schemas.openxmlformats.org/officeDocument/2006/bibliography"/>
  </ds:schemaRefs>
</ds:datastoreItem>
</file>

<file path=customXml/itemProps3.xml><?xml version="1.0" encoding="utf-8"?>
<ds:datastoreItem xmlns:ds="http://schemas.openxmlformats.org/officeDocument/2006/customXml" ds:itemID="{BD1E950A-17B8-4F3D-9A10-8360383C06B9}">
  <ds:schemaRefs>
    <ds:schemaRef ds:uri="http://schemas.microsoft.com/sharepoint/v3/contenttype/forms"/>
  </ds:schemaRefs>
</ds:datastoreItem>
</file>

<file path=customXml/itemProps4.xml><?xml version="1.0" encoding="utf-8"?>
<ds:datastoreItem xmlns:ds="http://schemas.openxmlformats.org/officeDocument/2006/customXml" ds:itemID="{8FF8A8E7-0AF9-42DA-B4B0-0E7B7F01E44B}">
  <ds:schemaRefs>
    <ds:schemaRef ds:uri="http://schemas.microsoft.com/office/2006/metadata/properties"/>
    <ds:schemaRef ds:uri="http://schemas.microsoft.com/office/infopath/2007/PartnerControls"/>
    <ds:schemaRef ds:uri="85282a53-827d-4236-8de6-76a7d51d147d"/>
    <ds:schemaRef ds:uri="924b1161-432c-455c-a55a-309c1c07533a"/>
  </ds:schemaRefs>
</ds:datastoreItem>
</file>

<file path=customXml/itemProps5.xml><?xml version="1.0" encoding="utf-8"?>
<ds:datastoreItem xmlns:ds="http://schemas.openxmlformats.org/officeDocument/2006/customXml" ds:itemID="{2395E20A-45E3-4BAD-8AA2-58EA9441D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b1161-432c-455c-a55a-309c1c07533a"/>
    <ds:schemaRef ds:uri="85282a53-827d-4236-8de6-76a7d51d1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Aptos Template</Template>
  <TotalTime>4</TotalTime>
  <Pages>34</Pages>
  <Words>12262</Words>
  <Characters>69898</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Manager/>
  <Company>Ndthenwhat</Company>
  <LinksUpToDate>false</LinksUpToDate>
  <CharactersWithSpaces>81997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Loots</dc:creator>
  <cp:keywords/>
  <dc:description/>
  <cp:lastModifiedBy>Monge Tlaka</cp:lastModifiedBy>
  <cp:revision>2</cp:revision>
  <cp:lastPrinted>2024-07-05T20:42:00Z</cp:lastPrinted>
  <dcterms:created xsi:type="dcterms:W3CDTF">2025-08-25T12:18:00Z</dcterms:created>
  <dcterms:modified xsi:type="dcterms:W3CDTF">2025-08-25T12:18:00Z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bf9467ce-87b0-41ef-a1ee-1c1df3379aad</vt:lpwstr>
  </property>
  <property fmtid="{D5CDD505-2E9C-101B-9397-08002B2CF9AE}" pid="3" name="MediaServiceImageTags">
    <vt:lpwstr/>
  </property>
  <property fmtid="{D5CDD505-2E9C-101B-9397-08002B2CF9AE}" pid="4" name="ContentTypeId">
    <vt:lpwstr>0x010100ED71C1CDAF967A46A79000F98DB7E18D</vt:lpwstr>
  </property>
</Properties>
</file>