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6F" w:rsidRPr="00A606C0" w:rsidRDefault="00001E6F" w:rsidP="003A29EA">
      <w:pPr>
        <w:pStyle w:val="Title"/>
        <w:jc w:val="left"/>
        <w:rPr>
          <w:color w:val="7F7F7F" w:themeColor="text1" w:themeTint="80"/>
          <w:sz w:val="22"/>
          <w:szCs w:val="22"/>
        </w:rPr>
      </w:pPr>
    </w:p>
    <w:p w:rsidR="00001E6F" w:rsidRPr="00A606C0" w:rsidRDefault="00001E6F" w:rsidP="003A29EA">
      <w:pPr>
        <w:pStyle w:val="Title"/>
        <w:jc w:val="left"/>
        <w:rPr>
          <w:color w:val="7F7F7F" w:themeColor="text1" w:themeTint="80"/>
          <w:sz w:val="22"/>
          <w:szCs w:val="22"/>
        </w:rPr>
      </w:pPr>
    </w:p>
    <w:p w:rsidR="00001E6F" w:rsidRPr="00A606C0" w:rsidRDefault="00001E6F" w:rsidP="003A29EA">
      <w:pPr>
        <w:pStyle w:val="Title"/>
        <w:jc w:val="left"/>
        <w:rPr>
          <w:sz w:val="22"/>
          <w:szCs w:val="22"/>
        </w:rPr>
      </w:pPr>
    </w:p>
    <w:p w:rsidR="00275950" w:rsidRDefault="00A55F1A" w:rsidP="003A29EA">
      <w:pPr>
        <w:pStyle w:val="Title"/>
        <w:spacing w:before="480" w:after="240"/>
        <w:rPr>
          <w:sz w:val="36"/>
          <w:szCs w:val="36"/>
        </w:rPr>
      </w:pPr>
      <w:r w:rsidRPr="005A05C3">
        <w:rPr>
          <w:sz w:val="36"/>
          <w:szCs w:val="36"/>
        </w:rPr>
        <w:t>National Institute for the Deaf</w:t>
      </w:r>
    </w:p>
    <w:p w:rsidR="00001E6F" w:rsidRPr="00275950" w:rsidRDefault="00001E6F" w:rsidP="00275950"/>
    <w:p w:rsidR="00B93AE4" w:rsidRPr="00275950" w:rsidRDefault="00B93AE4" w:rsidP="00B45597">
      <w:pPr>
        <w:spacing w:after="120"/>
        <w:jc w:val="center"/>
        <w:rPr>
          <w:rFonts w:eastAsia="Times New Roman" w:cs="Arial"/>
          <w:bCs/>
          <w:kern w:val="28"/>
          <w:sz w:val="36"/>
          <w:szCs w:val="36"/>
        </w:rPr>
      </w:pPr>
      <w:r>
        <w:rPr>
          <w:rFonts w:eastAsia="Times New Roman" w:cs="Arial"/>
          <w:bCs/>
          <w:kern w:val="28"/>
          <w:sz w:val="36"/>
          <w:szCs w:val="36"/>
        </w:rPr>
        <w:t xml:space="preserve">Higher </w:t>
      </w:r>
      <w:r w:rsidRPr="00275950">
        <w:rPr>
          <w:rFonts w:eastAsia="Times New Roman" w:cs="Arial"/>
          <w:bCs/>
          <w:kern w:val="28"/>
          <w:sz w:val="36"/>
          <w:szCs w:val="36"/>
        </w:rPr>
        <w:t xml:space="preserve">Certificate Programme for Educators of </w:t>
      </w:r>
      <w:r w:rsidR="0096272B">
        <w:rPr>
          <w:rFonts w:eastAsia="Times New Roman" w:cs="Arial"/>
          <w:bCs/>
          <w:kern w:val="28"/>
          <w:sz w:val="36"/>
          <w:szCs w:val="36"/>
        </w:rPr>
        <w:t xml:space="preserve">the </w:t>
      </w:r>
      <w:r>
        <w:rPr>
          <w:rFonts w:eastAsia="Times New Roman" w:cs="Arial"/>
          <w:bCs/>
          <w:kern w:val="28"/>
          <w:sz w:val="36"/>
          <w:szCs w:val="36"/>
        </w:rPr>
        <w:t xml:space="preserve">Deaf and </w:t>
      </w:r>
      <w:r w:rsidR="009C16A5">
        <w:rPr>
          <w:rFonts w:eastAsia="Times New Roman" w:cs="Arial"/>
          <w:bCs/>
          <w:kern w:val="28"/>
          <w:sz w:val="36"/>
          <w:szCs w:val="36"/>
        </w:rPr>
        <w:t>Persons with Hearing Loss</w:t>
      </w:r>
      <w:r>
        <w:rPr>
          <w:rFonts w:eastAsia="Times New Roman" w:cs="Arial"/>
          <w:bCs/>
          <w:kern w:val="28"/>
          <w:sz w:val="36"/>
          <w:szCs w:val="36"/>
        </w:rPr>
        <w:t xml:space="preserve"> </w:t>
      </w:r>
    </w:p>
    <w:p w:rsidR="00B93AE4" w:rsidRDefault="00B93AE4" w:rsidP="0083495B">
      <w:pPr>
        <w:pStyle w:val="Title"/>
        <w:spacing w:before="480" w:after="480"/>
        <w:rPr>
          <w:color w:val="7F7F7F" w:themeColor="text1" w:themeTint="80"/>
          <w:sz w:val="36"/>
          <w:szCs w:val="36"/>
        </w:rPr>
      </w:pPr>
    </w:p>
    <w:p w:rsidR="00866498" w:rsidRPr="005A05C3" w:rsidRDefault="00145CB7" w:rsidP="0083495B">
      <w:pPr>
        <w:pStyle w:val="Title"/>
        <w:spacing w:before="480" w:after="480"/>
        <w:rPr>
          <w:b w:val="0"/>
          <w:sz w:val="36"/>
          <w:szCs w:val="36"/>
        </w:rPr>
      </w:pPr>
      <w:r>
        <w:rPr>
          <w:color w:val="7F7F7F" w:themeColor="text1" w:themeTint="80"/>
          <w:sz w:val="36"/>
          <w:szCs w:val="36"/>
        </w:rPr>
        <w:t xml:space="preserve">CURRICULUM </w:t>
      </w:r>
      <w:r w:rsidR="00512A50">
        <w:rPr>
          <w:color w:val="7F7F7F" w:themeColor="text1" w:themeTint="80"/>
          <w:sz w:val="36"/>
          <w:szCs w:val="36"/>
        </w:rPr>
        <w:t>F</w:t>
      </w:r>
      <w:r w:rsidR="00F36392">
        <w:rPr>
          <w:color w:val="7F7F7F" w:themeColor="text1" w:themeTint="80"/>
          <w:sz w:val="36"/>
          <w:szCs w:val="36"/>
        </w:rPr>
        <w:t>RAMEWORK</w:t>
      </w:r>
    </w:p>
    <w:p w:rsidR="00866498" w:rsidRPr="00A606C0" w:rsidRDefault="00866498" w:rsidP="003A29EA">
      <w:pPr>
        <w:jc w:val="center"/>
      </w:pPr>
    </w:p>
    <w:p w:rsidR="00A55F1A" w:rsidRPr="00A606C0" w:rsidRDefault="00A55F1A" w:rsidP="003A29EA">
      <w:pPr>
        <w:pStyle w:val="Title"/>
        <w:rPr>
          <w:sz w:val="22"/>
          <w:szCs w:val="22"/>
        </w:rPr>
      </w:pPr>
    </w:p>
    <w:p w:rsidR="00001E6F" w:rsidRPr="00A606C0" w:rsidRDefault="00001E6F" w:rsidP="003A29EA">
      <w:pPr>
        <w:jc w:val="center"/>
      </w:pPr>
    </w:p>
    <w:p w:rsidR="00001E6F" w:rsidRPr="00A606C0" w:rsidRDefault="00001E6F" w:rsidP="003A29EA">
      <w:pPr>
        <w:jc w:val="center"/>
      </w:pPr>
    </w:p>
    <w:p w:rsidR="00001E6F" w:rsidRPr="00A606C0" w:rsidRDefault="00001E6F" w:rsidP="003A29EA">
      <w:pPr>
        <w:jc w:val="center"/>
      </w:pPr>
    </w:p>
    <w:p w:rsidR="00001E6F" w:rsidRPr="00A606C0" w:rsidRDefault="00001E6F" w:rsidP="003A29EA">
      <w:pPr>
        <w:jc w:val="center"/>
      </w:pPr>
    </w:p>
    <w:p w:rsidR="00001E6F" w:rsidRPr="00A606C0" w:rsidRDefault="00001E6F" w:rsidP="003A29EA">
      <w:pPr>
        <w:jc w:val="center"/>
      </w:pPr>
    </w:p>
    <w:p w:rsidR="00A55F1A" w:rsidRPr="00A606C0" w:rsidRDefault="00A55F1A" w:rsidP="003A29EA">
      <w:pPr>
        <w:jc w:val="center"/>
      </w:pPr>
    </w:p>
    <w:p w:rsidR="0092592A" w:rsidRPr="005A05C3" w:rsidRDefault="001A1BF9" w:rsidP="003A29EA">
      <w:pPr>
        <w:pStyle w:val="Title"/>
        <w:rPr>
          <w:color w:val="808080" w:themeColor="background1" w:themeShade="80"/>
          <w:sz w:val="28"/>
          <w:szCs w:val="28"/>
        </w:rPr>
      </w:pPr>
      <w:r>
        <w:rPr>
          <w:color w:val="808080" w:themeColor="background1" w:themeShade="80"/>
          <w:sz w:val="28"/>
          <w:szCs w:val="28"/>
        </w:rPr>
        <w:t>June</w:t>
      </w:r>
      <w:r w:rsidR="00404B7A">
        <w:rPr>
          <w:color w:val="808080" w:themeColor="background1" w:themeShade="80"/>
          <w:sz w:val="28"/>
          <w:szCs w:val="28"/>
        </w:rPr>
        <w:t xml:space="preserve"> </w:t>
      </w:r>
      <w:r w:rsidR="00A55F1A" w:rsidRPr="005A05C3">
        <w:rPr>
          <w:color w:val="808080" w:themeColor="background1" w:themeShade="80"/>
          <w:sz w:val="28"/>
          <w:szCs w:val="28"/>
        </w:rPr>
        <w:t>201</w:t>
      </w:r>
      <w:r w:rsidR="00B93AE4">
        <w:rPr>
          <w:color w:val="808080" w:themeColor="background1" w:themeShade="80"/>
          <w:sz w:val="28"/>
          <w:szCs w:val="28"/>
        </w:rPr>
        <w:t>4</w:t>
      </w:r>
    </w:p>
    <w:p w:rsidR="00001E6F" w:rsidRPr="00A606C0" w:rsidRDefault="00001E6F" w:rsidP="003A29EA">
      <w:pPr>
        <w:jc w:val="center"/>
      </w:pPr>
    </w:p>
    <w:p w:rsidR="00001E6F" w:rsidRPr="00A606C0" w:rsidRDefault="00001E6F" w:rsidP="003A29EA">
      <w:pPr>
        <w:jc w:val="center"/>
        <w:sectPr w:rsidR="00001E6F" w:rsidRPr="00A606C0">
          <w:headerReference w:type="default" r:id="rId8"/>
          <w:footerReference w:type="even" r:id="rId9"/>
          <w:footerReference w:type="default" r:id="rId10"/>
          <w:pgSz w:w="11906" w:h="16838"/>
          <w:pgMar w:top="1440" w:right="1440" w:bottom="1440" w:left="1440" w:header="708" w:footer="708" w:gutter="0"/>
          <w:cols w:space="708"/>
          <w:docGrid w:linePitch="360"/>
        </w:sectPr>
      </w:pPr>
    </w:p>
    <w:p w:rsidR="00B93AE4" w:rsidRDefault="00F36392" w:rsidP="006418E2">
      <w:pPr>
        <w:pStyle w:val="Heading1"/>
        <w:spacing w:before="360" w:after="240"/>
      </w:pPr>
      <w:r>
        <w:lastRenderedPageBreak/>
        <w:t>Background</w:t>
      </w:r>
    </w:p>
    <w:p w:rsidR="003E3159" w:rsidRDefault="00E75297" w:rsidP="00B93AE4">
      <w:pPr>
        <w:rPr>
          <w:lang w:val="en-GB"/>
        </w:rPr>
      </w:pPr>
      <w:r>
        <w:rPr>
          <w:lang w:val="en-GB"/>
        </w:rPr>
        <w:t xml:space="preserve">The Deaf and persons with </w:t>
      </w:r>
      <w:r w:rsidR="00B45597">
        <w:rPr>
          <w:lang w:val="en-GB"/>
        </w:rPr>
        <w:t>hearing loss</w:t>
      </w:r>
      <w:r w:rsidR="0096272B">
        <w:rPr>
          <w:lang w:val="en-GB"/>
        </w:rPr>
        <w:t xml:space="preserve"> </w:t>
      </w:r>
      <w:r w:rsidR="00B93AE4">
        <w:rPr>
          <w:lang w:val="en-GB"/>
        </w:rPr>
        <w:t xml:space="preserve">have the same human rights as their hearing counterparts to access equitable and quality education and training opportunities that enable them to acquire the competences they need to take their rightful place in a largely hearing world in which the increasingly widespread use of technology is creating new ways of living and working. Unfortunately Deaf and learners </w:t>
      </w:r>
      <w:r>
        <w:rPr>
          <w:lang w:val="en-GB"/>
        </w:rPr>
        <w:t xml:space="preserve">with </w:t>
      </w:r>
      <w:r w:rsidR="00B45597">
        <w:rPr>
          <w:lang w:val="en-GB"/>
        </w:rPr>
        <w:t>hearing loss</w:t>
      </w:r>
      <w:r w:rsidR="009C16A5">
        <w:rPr>
          <w:lang w:val="en-GB"/>
        </w:rPr>
        <w:t xml:space="preserve"> </w:t>
      </w:r>
      <w:r w:rsidR="00B93AE4">
        <w:rPr>
          <w:lang w:val="en-GB"/>
        </w:rPr>
        <w:t>are usually at a disadvantage, as educators typically do not receive adequate professional development to respond appropriately to their specialised learning needs and challenges. (Storbeck, 1998)</w:t>
      </w:r>
    </w:p>
    <w:p w:rsidR="008160DF" w:rsidRDefault="002873FA" w:rsidP="003E3159">
      <w:pPr>
        <w:rPr>
          <w:lang w:val="en-GB"/>
        </w:rPr>
      </w:pPr>
      <w:r>
        <w:rPr>
          <w:lang w:val="en-GB"/>
        </w:rPr>
        <w:t xml:space="preserve">There are many </w:t>
      </w:r>
      <w:r w:rsidR="009C16A5">
        <w:rPr>
          <w:lang w:val="en-GB"/>
        </w:rPr>
        <w:t xml:space="preserve">Deaf </w:t>
      </w:r>
      <w:r w:rsidR="00E75297">
        <w:rPr>
          <w:lang w:val="en-GB"/>
        </w:rPr>
        <w:t xml:space="preserve">and persons with </w:t>
      </w:r>
      <w:r w:rsidR="00B45597">
        <w:rPr>
          <w:lang w:val="en-GB"/>
        </w:rPr>
        <w:t>hearing loss</w:t>
      </w:r>
      <w:r w:rsidR="00E75297">
        <w:rPr>
          <w:lang w:val="en-GB"/>
        </w:rPr>
        <w:t xml:space="preserve"> </w:t>
      </w:r>
      <w:r w:rsidR="009C16A5">
        <w:rPr>
          <w:lang w:val="en-GB"/>
        </w:rPr>
        <w:t xml:space="preserve">who are </w:t>
      </w:r>
      <w:r w:rsidR="003E3159" w:rsidRPr="003E3159">
        <w:rPr>
          <w:lang w:val="en-GB"/>
        </w:rPr>
        <w:t>working as teaching assistants in classrooms in schools for the Deaf who lack formal qualifications and hence the opportunity to access further formal training and career progression opportunities. The majority of these practitioners, for a variety of reasons, do not have the necessary qualifications to access formal teacher education programmes at Diploma and Degree level and few of these programmes make specific provisio</w:t>
      </w:r>
      <w:r w:rsidR="008160DF">
        <w:rPr>
          <w:lang w:val="en-GB"/>
        </w:rPr>
        <w:t xml:space="preserve">n for the Deaf. </w:t>
      </w:r>
      <w:r w:rsidR="003E3159" w:rsidRPr="003E3159">
        <w:rPr>
          <w:lang w:val="en-GB"/>
        </w:rPr>
        <w:t>With the introduction of sign language into public schooling there will be need to significantly expand the pool of practitioners able to assist wit</w:t>
      </w:r>
      <w:r>
        <w:rPr>
          <w:lang w:val="en-GB"/>
        </w:rPr>
        <w:t>h the teaching of the Deaf</w:t>
      </w:r>
      <w:r w:rsidR="008160DF">
        <w:rPr>
          <w:lang w:val="en-GB"/>
        </w:rPr>
        <w:t>.</w:t>
      </w:r>
      <w:r w:rsidR="0096272B">
        <w:rPr>
          <w:lang w:val="en-GB"/>
        </w:rPr>
        <w:t xml:space="preserve"> </w:t>
      </w:r>
    </w:p>
    <w:p w:rsidR="003E3159" w:rsidRPr="003E3159" w:rsidRDefault="008160DF" w:rsidP="003E3159">
      <w:pPr>
        <w:rPr>
          <w:lang w:val="en-GB"/>
        </w:rPr>
      </w:pPr>
      <w:r>
        <w:rPr>
          <w:lang w:val="en-GB"/>
        </w:rPr>
        <w:t>In this document the term Deaf is used inclusively to denote Deaf and persons with</w:t>
      </w:r>
      <w:r w:rsidR="00E75297">
        <w:rPr>
          <w:lang w:val="en-GB"/>
        </w:rPr>
        <w:t xml:space="preserve"> </w:t>
      </w:r>
      <w:r w:rsidR="00B45597">
        <w:rPr>
          <w:lang w:val="en-GB"/>
        </w:rPr>
        <w:t>hearing loss</w:t>
      </w:r>
      <w:r>
        <w:rPr>
          <w:lang w:val="en-GB"/>
        </w:rPr>
        <w:t>.</w:t>
      </w:r>
    </w:p>
    <w:p w:rsidR="00696540" w:rsidRPr="00696540" w:rsidRDefault="00731EF6" w:rsidP="00696540">
      <w:pPr>
        <w:pStyle w:val="Heading1"/>
        <w:spacing w:before="360" w:after="240"/>
      </w:pPr>
      <w:r>
        <w:t xml:space="preserve">National and </w:t>
      </w:r>
      <w:r w:rsidR="00696540" w:rsidRPr="00696540">
        <w:t>International Comparability</w:t>
      </w:r>
    </w:p>
    <w:p w:rsidR="00FF70DA" w:rsidRDefault="000176DA" w:rsidP="00FF70DA">
      <w:pPr>
        <w:spacing w:after="0"/>
      </w:pPr>
      <w:r>
        <w:t>A desktop review was carried out in order to compare educator training programmes</w:t>
      </w:r>
      <w:r w:rsidR="00731EF6">
        <w:t xml:space="preserve"> specifically developed for </w:t>
      </w:r>
      <w:r>
        <w:t>Deaf students both nationally and internationally. The research included programmes offered by higher education institutions (HEIs) in South Africa, United Kingdom (UK), United States o</w:t>
      </w:r>
      <w:r w:rsidR="00E82E6D">
        <w:t xml:space="preserve">f America (USA) and Australia. </w:t>
      </w:r>
      <w:r>
        <w:t>Information pertaining to the country, institution, qualification and admission requirements was collected.</w:t>
      </w:r>
      <w:r w:rsidR="00731EF6">
        <w:t xml:space="preserve"> [</w:t>
      </w:r>
      <w:r w:rsidR="00D548B2">
        <w:rPr>
          <w:i/>
        </w:rPr>
        <w:t>Appendix 1</w:t>
      </w:r>
      <w:r w:rsidR="00731EF6" w:rsidRPr="00731EF6">
        <w:rPr>
          <w:i/>
        </w:rPr>
        <w:t xml:space="preserve">: National and International Comparability, </w:t>
      </w:r>
      <w:r w:rsidR="00E75297">
        <w:rPr>
          <w:i/>
        </w:rPr>
        <w:br/>
      </w:r>
      <w:r w:rsidR="00731EF6" w:rsidRPr="00731EF6">
        <w:rPr>
          <w:i/>
        </w:rPr>
        <w:t>Table 1 – List of Qualifications and Admission Requirements</w:t>
      </w:r>
      <w:r w:rsidR="00731EF6">
        <w:t xml:space="preserve">]. </w:t>
      </w:r>
    </w:p>
    <w:p w:rsidR="000176DA" w:rsidRPr="00FF70DA" w:rsidRDefault="000176DA" w:rsidP="00FF70DA">
      <w:pPr>
        <w:spacing w:after="0"/>
      </w:pPr>
    </w:p>
    <w:p w:rsidR="000176DA" w:rsidRDefault="000176DA" w:rsidP="00FF70DA">
      <w:r w:rsidRPr="00FF70DA">
        <w:rPr>
          <w:lang w:val="en-GB"/>
        </w:rPr>
        <w:t>The research revealed that although a number of HEIs offer programmes specifically targeted at developing competency in the training of Deaf students</w:t>
      </w:r>
      <w:r w:rsidR="00731EF6" w:rsidRPr="00FF70DA">
        <w:rPr>
          <w:lang w:val="en-GB"/>
        </w:rPr>
        <w:t>,</w:t>
      </w:r>
      <w:r w:rsidRPr="00FF70DA">
        <w:rPr>
          <w:lang w:val="en-GB"/>
        </w:rPr>
        <w:t xml:space="preserve"> the vast majority of courses offered are unattainable to most Deaf </w:t>
      </w:r>
      <w:r w:rsidR="0096272B">
        <w:rPr>
          <w:lang w:val="en-GB"/>
        </w:rPr>
        <w:t>persons</w:t>
      </w:r>
      <w:r w:rsidR="008160DF">
        <w:rPr>
          <w:lang w:val="en-GB"/>
        </w:rPr>
        <w:t>.</w:t>
      </w:r>
      <w:r w:rsidR="0096272B">
        <w:rPr>
          <w:lang w:val="en-GB"/>
        </w:rPr>
        <w:t xml:space="preserve"> </w:t>
      </w:r>
      <w:r w:rsidRPr="00FF70DA">
        <w:rPr>
          <w:lang w:val="en-GB"/>
        </w:rPr>
        <w:t xml:space="preserve">A significant number of programmes offered are at a post graduate and specialised level and thus the </w:t>
      </w:r>
      <w:r w:rsidR="00731EF6" w:rsidRPr="00FF70DA">
        <w:rPr>
          <w:lang w:val="en-GB"/>
        </w:rPr>
        <w:t>minimum admission requirement</w:t>
      </w:r>
      <w:r w:rsidR="00731EF6">
        <w:t xml:space="preserve"> is</w:t>
      </w:r>
      <w:r>
        <w:t xml:space="preserve"> </w:t>
      </w:r>
      <w:r w:rsidR="00FF70DA">
        <w:t xml:space="preserve">a </w:t>
      </w:r>
      <w:r w:rsidRPr="00E6009C">
        <w:t xml:space="preserve">Bachelor </w:t>
      </w:r>
      <w:r>
        <w:t xml:space="preserve">Degree. Some institutions specify that applicants should have qualified teaching status and have a minimum of two years teaching experience. This is a considerable challenge for </w:t>
      </w:r>
      <w:r w:rsidR="00FF70DA">
        <w:t xml:space="preserve">the majority of </w:t>
      </w:r>
      <w:r>
        <w:t>Dea</w:t>
      </w:r>
      <w:r w:rsidR="00FF70DA">
        <w:t xml:space="preserve">f students, </w:t>
      </w:r>
      <w:r>
        <w:t>as research into the acquisition of reading and writing skills in Deaf students has revealed low levels of literacy</w:t>
      </w:r>
      <w:r>
        <w:rPr>
          <w:rStyle w:val="FootnoteReference"/>
        </w:rPr>
        <w:footnoteReference w:id="1"/>
      </w:r>
      <w:r>
        <w:t>.</w:t>
      </w:r>
      <w:r w:rsidR="00FF70DA">
        <w:t xml:space="preserve"> </w:t>
      </w:r>
    </w:p>
    <w:p w:rsidR="00E82E6D" w:rsidRDefault="000176DA" w:rsidP="00556F21">
      <w:pPr>
        <w:spacing w:after="0"/>
      </w:pPr>
      <w:r>
        <w:t xml:space="preserve">The lowest admission requirement is a </w:t>
      </w:r>
      <w:r w:rsidRPr="00B009C5">
        <w:t>senior certificate with endorsement</w:t>
      </w:r>
      <w:r>
        <w:t xml:space="preserve"> (universi</w:t>
      </w:r>
      <w:r w:rsidR="00FF70DA">
        <w:t>ty exemption) and relates to</w:t>
      </w:r>
      <w:r>
        <w:t xml:space="preserve"> two courses offered by the University of the Witwatersrand (WITS). Even this relatively low admission requirement could potentially be a barrier for Deaf students in South Africa. Of the students </w:t>
      </w:r>
      <w:r w:rsidR="00CA4305">
        <w:t xml:space="preserve">who </w:t>
      </w:r>
      <w:r>
        <w:t xml:space="preserve">do reach Grade 12 level, most do not qualify for eventual matriculation exemption as they do not have a ‘second official </w:t>
      </w:r>
      <w:r w:rsidR="00CA4305">
        <w:t xml:space="preserve">language subject qualification’. This </w:t>
      </w:r>
      <w:r w:rsidR="000533B0">
        <w:t>‘</w:t>
      </w:r>
      <w:r w:rsidR="00CA4305">
        <w:t xml:space="preserve">hearing based’ </w:t>
      </w:r>
      <w:r w:rsidR="00556F21">
        <w:lastRenderedPageBreak/>
        <w:t xml:space="preserve">admission </w:t>
      </w:r>
      <w:r w:rsidR="00CA4305">
        <w:t>criterion c</w:t>
      </w:r>
      <w:r w:rsidR="00556F21">
        <w:t>omplicates access to tertiary edu</w:t>
      </w:r>
      <w:r w:rsidR="00E82E6D">
        <w:t>c</w:t>
      </w:r>
      <w:r w:rsidR="00556F21">
        <w:t xml:space="preserve">ation for </w:t>
      </w:r>
      <w:r w:rsidR="00CA4305">
        <w:t>Dea</w:t>
      </w:r>
      <w:r w:rsidR="00556F21">
        <w:t xml:space="preserve">f students and underscores the need for accessible entry requirements. </w:t>
      </w:r>
    </w:p>
    <w:p w:rsidR="00E82E6D" w:rsidRDefault="00E82E6D" w:rsidP="00556F21">
      <w:pPr>
        <w:spacing w:after="0"/>
      </w:pPr>
    </w:p>
    <w:p w:rsidR="001451E0" w:rsidRDefault="001D6D41" w:rsidP="00556F21">
      <w:pPr>
        <w:spacing w:after="0"/>
      </w:pPr>
      <w:r w:rsidRPr="00F05109">
        <w:t xml:space="preserve">The </w:t>
      </w:r>
      <w:r>
        <w:t xml:space="preserve">Programme for Educators of </w:t>
      </w:r>
      <w:r w:rsidR="0096272B">
        <w:t xml:space="preserve">the </w:t>
      </w:r>
      <w:r>
        <w:t xml:space="preserve">Deaf and </w:t>
      </w:r>
      <w:r w:rsidR="00E75297">
        <w:t xml:space="preserve">persons with </w:t>
      </w:r>
      <w:r w:rsidR="00B45597">
        <w:t>hearing loss</w:t>
      </w:r>
      <w:r w:rsidR="0096272B">
        <w:t xml:space="preserve"> </w:t>
      </w:r>
      <w:r w:rsidRPr="00F05109">
        <w:t>will be developed as an NQF Level 5 Higher Certificate Programme with accessible entry-level requirements</w:t>
      </w:r>
      <w:r w:rsidR="00CA4305">
        <w:t xml:space="preserve"> and </w:t>
      </w:r>
      <w:r w:rsidR="00660AFC" w:rsidRPr="00F05109">
        <w:t xml:space="preserve">will offer </w:t>
      </w:r>
      <w:r w:rsidR="0094682F">
        <w:t xml:space="preserve">prospective students </w:t>
      </w:r>
      <w:r>
        <w:t xml:space="preserve">a springboard </w:t>
      </w:r>
      <w:r w:rsidR="00660AFC" w:rsidRPr="00F05109">
        <w:t xml:space="preserve">into a career in education and training of </w:t>
      </w:r>
      <w:r>
        <w:t xml:space="preserve">the </w:t>
      </w:r>
      <w:r w:rsidR="008160DF">
        <w:t xml:space="preserve">Deaf. </w:t>
      </w:r>
      <w:r w:rsidR="0094682F">
        <w:t>The diagram shows how the proposed H</w:t>
      </w:r>
      <w:r w:rsidR="00B7282A">
        <w:t xml:space="preserve">igher Certificate (Education) Programme </w:t>
      </w:r>
      <w:r w:rsidR="001451E0">
        <w:t>links with the Education Qualification Pathway.</w:t>
      </w:r>
      <w:r w:rsidR="00B7282A">
        <w:t xml:space="preserve"> The Higher Certificate (Education) Programme will be referred to as the </w:t>
      </w:r>
      <w:r w:rsidR="00B7282A">
        <w:br/>
      </w:r>
      <w:r w:rsidR="00442830">
        <w:t>HCE</w:t>
      </w:r>
      <w:r w:rsidR="00B7282A">
        <w:t xml:space="preserve"> </w:t>
      </w:r>
      <w:r w:rsidR="00B7282A">
        <w:rPr>
          <w:lang w:val="en-GB"/>
        </w:rPr>
        <w:t xml:space="preserve">in this document. </w:t>
      </w:r>
    </w:p>
    <w:p w:rsidR="008160DF" w:rsidRDefault="008160DF" w:rsidP="00556F21">
      <w:pPr>
        <w:spacing w:after="0"/>
        <w:rPr>
          <w:rFonts w:ascii="Calibri" w:hAnsi="Calibri" w:cs="Calibri"/>
          <w:sz w:val="18"/>
        </w:rPr>
      </w:pPr>
    </w:p>
    <w:p w:rsidR="008160DF" w:rsidRDefault="001451E0" w:rsidP="00556F21">
      <w:pPr>
        <w:spacing w:after="0"/>
        <w:rPr>
          <w:rFonts w:ascii="Calibri" w:hAnsi="Calibri" w:cs="Calibri"/>
          <w:sz w:val="18"/>
        </w:rPr>
      </w:pPr>
      <w:r>
        <w:rPr>
          <w:noProof/>
          <w:lang w:val="en-US" w:eastAsia="en-US"/>
        </w:rPr>
        <w:drawing>
          <wp:anchor distT="0" distB="0" distL="114300" distR="114300" simplePos="0" relativeHeight="251672576" behindDoc="0" locked="0" layoutInCell="1" allowOverlap="1">
            <wp:simplePos x="0" y="0"/>
            <wp:positionH relativeFrom="column">
              <wp:posOffset>0</wp:posOffset>
            </wp:positionH>
            <wp:positionV relativeFrom="paragraph">
              <wp:posOffset>113030</wp:posOffset>
            </wp:positionV>
            <wp:extent cx="5728970" cy="3867785"/>
            <wp:effectExtent l="25400" t="0" r="11430" b="0"/>
            <wp:wrapTight wrapText="bothSides">
              <wp:wrapPolygon edited="0">
                <wp:start x="-96" y="0"/>
                <wp:lineTo x="-96" y="21561"/>
                <wp:lineTo x="21643" y="21561"/>
                <wp:lineTo x="21643" y="0"/>
                <wp:lineTo x="-96"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728970" cy="3867785"/>
                    </a:xfrm>
                    <a:prstGeom prst="rect">
                      <a:avLst/>
                    </a:prstGeom>
                    <a:noFill/>
                    <a:ln w="9525">
                      <a:noFill/>
                      <a:miter lim="800000"/>
                      <a:headEnd/>
                      <a:tailEnd/>
                    </a:ln>
                  </pic:spPr>
                </pic:pic>
              </a:graphicData>
            </a:graphic>
          </wp:anchor>
        </w:drawing>
      </w:r>
      <w:r w:rsidR="007F4DE4">
        <w:rPr>
          <w:rFonts w:ascii="Calibri" w:hAnsi="Calibri" w:cs="Calibri"/>
          <w:sz w:val="18"/>
        </w:rPr>
        <w:t>Diagram 1</w:t>
      </w:r>
      <w:r w:rsidRPr="00F73639">
        <w:rPr>
          <w:rFonts w:ascii="Calibri" w:hAnsi="Calibri" w:cs="Calibri"/>
          <w:sz w:val="18"/>
        </w:rPr>
        <w:t xml:space="preserve">: </w:t>
      </w:r>
      <w:r w:rsidR="00442830">
        <w:rPr>
          <w:rFonts w:ascii="Calibri" w:hAnsi="Calibri" w:cs="Calibri"/>
          <w:sz w:val="18"/>
        </w:rPr>
        <w:t>HCE</w:t>
      </w:r>
      <w:r>
        <w:rPr>
          <w:rFonts w:ascii="Calibri" w:hAnsi="Calibri" w:cs="Calibri"/>
          <w:sz w:val="18"/>
        </w:rPr>
        <w:t xml:space="preserve"> is an alternative access pathway into Education</w:t>
      </w:r>
    </w:p>
    <w:p w:rsidR="008160DF" w:rsidRDefault="008160DF" w:rsidP="00556F21">
      <w:pPr>
        <w:spacing w:after="0"/>
        <w:rPr>
          <w:rFonts w:ascii="Calibri" w:hAnsi="Calibri" w:cs="Calibri"/>
          <w:sz w:val="18"/>
        </w:rPr>
      </w:pPr>
    </w:p>
    <w:p w:rsidR="001451E0" w:rsidRDefault="00B7282A" w:rsidP="00556F21">
      <w:pPr>
        <w:spacing w:after="0"/>
      </w:pPr>
      <w:r>
        <w:t xml:space="preserve">The design and development of the </w:t>
      </w:r>
      <w:r w:rsidR="00442830">
        <w:t>HCE</w:t>
      </w:r>
      <w:r>
        <w:t xml:space="preserve"> is informed by </w:t>
      </w:r>
      <w:r w:rsidR="009D532F">
        <w:t>requisite entry requirements f</w:t>
      </w:r>
      <w:r w:rsidR="007F4DE4">
        <w:t>or the Grade R Diploma or the B</w:t>
      </w:r>
      <w:r>
        <w:t>Ed D</w:t>
      </w:r>
      <w:r w:rsidR="009D532F">
        <w:t>egree</w:t>
      </w:r>
      <w:r>
        <w:t xml:space="preserve"> and includes the necessary scaffolding and support to enable students to progress and achieve the required competences. </w:t>
      </w:r>
      <w:r w:rsidR="009D532F">
        <w:t xml:space="preserve">In addition it may be possible for students to be credited for 1 or 2 modules that overlap with modules in the two specified programmes. </w:t>
      </w:r>
    </w:p>
    <w:p w:rsidR="004A35AA" w:rsidRDefault="00FF70DA" w:rsidP="006418E2">
      <w:pPr>
        <w:pStyle w:val="Heading1"/>
        <w:spacing w:before="360" w:after="240"/>
      </w:pPr>
      <w:r>
        <w:t xml:space="preserve">Rationale for </w:t>
      </w:r>
      <w:r w:rsidR="004A35AA">
        <w:t xml:space="preserve">Programme </w:t>
      </w:r>
    </w:p>
    <w:p w:rsidR="003E3159" w:rsidRPr="00660AFC" w:rsidRDefault="0096272B" w:rsidP="00FF70DA">
      <w:r>
        <w:rPr>
          <w:rStyle w:val="FootnoteReference"/>
          <w:lang w:val="en-GB"/>
        </w:rPr>
        <w:footnoteReference w:id="2"/>
      </w:r>
      <w:r w:rsidR="003E3159" w:rsidRPr="003E3159">
        <w:rPr>
          <w:lang w:val="en-GB"/>
        </w:rPr>
        <w:t xml:space="preserve">The rationale for </w:t>
      </w:r>
      <w:r w:rsidR="00FF70DA">
        <w:rPr>
          <w:lang w:val="en-GB"/>
        </w:rPr>
        <w:t>the</w:t>
      </w:r>
      <w:r w:rsidR="00B7282A">
        <w:rPr>
          <w:lang w:val="en-GB"/>
        </w:rPr>
        <w:t xml:space="preserve"> </w:t>
      </w:r>
      <w:r w:rsidR="00442830">
        <w:rPr>
          <w:lang w:val="en-GB"/>
        </w:rPr>
        <w:t>HCE</w:t>
      </w:r>
      <w:r w:rsidR="00B7282A">
        <w:rPr>
          <w:lang w:val="en-GB"/>
        </w:rPr>
        <w:t xml:space="preserve"> </w:t>
      </w:r>
      <w:r w:rsidR="00FF70DA">
        <w:rPr>
          <w:lang w:val="en-GB"/>
        </w:rPr>
        <w:t>is</w:t>
      </w:r>
      <w:r w:rsidR="003E3159" w:rsidRPr="003E3159">
        <w:rPr>
          <w:lang w:val="en-GB"/>
        </w:rPr>
        <w:t xml:space="preserve"> to enable students with potential who do not meet the minimum university diploma/degree admission criteria to:</w:t>
      </w:r>
    </w:p>
    <w:p w:rsidR="006B7A47" w:rsidRPr="006B7A47" w:rsidRDefault="006B7A47" w:rsidP="00FF70DA">
      <w:pPr>
        <w:pStyle w:val="ListParagraph"/>
        <w:numPr>
          <w:ilvl w:val="0"/>
          <w:numId w:val="14"/>
        </w:numPr>
        <w:spacing w:after="0" w:line="240" w:lineRule="auto"/>
        <w:rPr>
          <w:rFonts w:cs="Arial"/>
        </w:rPr>
      </w:pPr>
      <w:r>
        <w:rPr>
          <w:rFonts w:cs="Arial"/>
        </w:rPr>
        <w:lastRenderedPageBreak/>
        <w:t>F</w:t>
      </w:r>
      <w:r w:rsidRPr="00FF70DA">
        <w:rPr>
          <w:rFonts w:cs="Arial"/>
        </w:rPr>
        <w:t xml:space="preserve">ollow an alternative </w:t>
      </w:r>
      <w:r w:rsidRPr="00FF70DA">
        <w:rPr>
          <w:rFonts w:cs="Arial"/>
          <w:lang w:val="en-US"/>
        </w:rPr>
        <w:t>access pathway to enter accredited diploma and degree courses in teacher education</w:t>
      </w:r>
      <w:r>
        <w:rPr>
          <w:rFonts w:cs="Arial"/>
          <w:lang w:val="en-US"/>
        </w:rPr>
        <w:t>.</w:t>
      </w:r>
    </w:p>
    <w:p w:rsidR="005958DA" w:rsidRDefault="006B7A47" w:rsidP="006B7A47">
      <w:pPr>
        <w:pStyle w:val="ListParagraph"/>
        <w:numPr>
          <w:ilvl w:val="0"/>
          <w:numId w:val="14"/>
        </w:numPr>
        <w:spacing w:after="0" w:line="240" w:lineRule="auto"/>
        <w:rPr>
          <w:rFonts w:cs="Arial"/>
        </w:rPr>
      </w:pPr>
      <w:r>
        <w:rPr>
          <w:rFonts w:cs="Arial"/>
        </w:rPr>
        <w:t>I</w:t>
      </w:r>
      <w:r w:rsidRPr="00FF70DA">
        <w:rPr>
          <w:rFonts w:cs="Arial"/>
        </w:rPr>
        <w:t>mprove current practice</w:t>
      </w:r>
      <w:r>
        <w:rPr>
          <w:rFonts w:cs="Arial"/>
        </w:rPr>
        <w:t>s in working with the Deaf.</w:t>
      </w:r>
    </w:p>
    <w:p w:rsidR="006B7A47" w:rsidRPr="005958DA" w:rsidRDefault="005958DA" w:rsidP="005958DA">
      <w:pPr>
        <w:pStyle w:val="ListParagraph"/>
        <w:numPr>
          <w:ilvl w:val="0"/>
          <w:numId w:val="14"/>
        </w:numPr>
        <w:spacing w:after="0" w:line="240" w:lineRule="auto"/>
        <w:rPr>
          <w:rFonts w:cs="Arial"/>
        </w:rPr>
      </w:pPr>
      <w:r>
        <w:rPr>
          <w:rFonts w:cs="Arial"/>
          <w:lang w:val="en-US"/>
        </w:rPr>
        <w:t>Acquire Open Distance and eLearning skills (</w:t>
      </w:r>
      <w:r w:rsidRPr="00FF70DA">
        <w:rPr>
          <w:rFonts w:cs="Arial"/>
          <w:lang w:val="en-US"/>
        </w:rPr>
        <w:t>ODeL</w:t>
      </w:r>
      <w:r>
        <w:rPr>
          <w:rFonts w:cs="Arial"/>
          <w:lang w:val="en-US"/>
        </w:rPr>
        <w:t>)</w:t>
      </w:r>
      <w:r w:rsidRPr="00FF70DA">
        <w:rPr>
          <w:rFonts w:cs="Arial"/>
          <w:lang w:val="en-US"/>
        </w:rPr>
        <w:t>, higher education language and learning skills, information management skills and basic teaching skills</w:t>
      </w:r>
      <w:r w:rsidRPr="00FF70DA">
        <w:rPr>
          <w:rFonts w:cs="Arial"/>
        </w:rPr>
        <w:t xml:space="preserve"> to support ongoing professional development</w:t>
      </w:r>
      <w:r>
        <w:rPr>
          <w:rFonts w:cs="Arial"/>
        </w:rPr>
        <w:t>.</w:t>
      </w:r>
    </w:p>
    <w:p w:rsidR="003E3159" w:rsidRPr="00E54DE9" w:rsidRDefault="003E3159" w:rsidP="00FF70DA">
      <w:pPr>
        <w:spacing w:after="0" w:line="240" w:lineRule="auto"/>
        <w:ind w:left="720"/>
        <w:rPr>
          <w:rFonts w:cs="Arial"/>
        </w:rPr>
      </w:pPr>
    </w:p>
    <w:p w:rsidR="007C3766" w:rsidRDefault="004C5A9E" w:rsidP="00FF70DA">
      <w:pPr>
        <w:rPr>
          <w:lang w:val="en-GB"/>
        </w:rPr>
      </w:pPr>
      <w:r>
        <w:rPr>
          <w:lang w:val="en-GB"/>
        </w:rPr>
        <w:t xml:space="preserve">The </w:t>
      </w:r>
      <w:r w:rsidR="00442830">
        <w:rPr>
          <w:lang w:val="en-GB"/>
        </w:rPr>
        <w:t>HCE</w:t>
      </w:r>
      <w:r w:rsidR="00B7282A">
        <w:rPr>
          <w:lang w:val="en-GB"/>
        </w:rPr>
        <w:t xml:space="preserve"> </w:t>
      </w:r>
      <w:r w:rsidR="00FF70DA" w:rsidRPr="003E3159">
        <w:rPr>
          <w:lang w:val="en-GB"/>
        </w:rPr>
        <w:t xml:space="preserve">provides a first stepping-stone towards becoming a qualified </w:t>
      </w:r>
      <w:r w:rsidR="00FF70DA">
        <w:rPr>
          <w:lang w:val="en-GB"/>
        </w:rPr>
        <w:t>teacher</w:t>
      </w:r>
      <w:r>
        <w:rPr>
          <w:lang w:val="en-GB"/>
        </w:rPr>
        <w:t xml:space="preserve">. </w:t>
      </w:r>
      <w:r w:rsidR="00994296">
        <w:rPr>
          <w:lang w:val="en-GB"/>
        </w:rPr>
        <w:t>For those who are interested, it</w:t>
      </w:r>
      <w:r w:rsidR="00FF70DA" w:rsidRPr="003E3159">
        <w:rPr>
          <w:lang w:val="en-GB"/>
        </w:rPr>
        <w:t xml:space="preserve"> provide</w:t>
      </w:r>
      <w:r w:rsidR="00994296">
        <w:rPr>
          <w:lang w:val="en-GB"/>
        </w:rPr>
        <w:t>s</w:t>
      </w:r>
      <w:r w:rsidR="00451CED">
        <w:rPr>
          <w:lang w:val="en-GB"/>
        </w:rPr>
        <w:t xml:space="preserve"> a Learning P</w:t>
      </w:r>
      <w:r w:rsidR="00FF70DA" w:rsidRPr="003E3159">
        <w:rPr>
          <w:lang w:val="en-GB"/>
        </w:rPr>
        <w:t>athway into the Diploma or Degree programmes that meet the Minimum Requirements for Teacher Education Qualifications (RSA 2011).</w:t>
      </w:r>
      <w:r w:rsidR="00994296">
        <w:rPr>
          <w:lang w:val="en-GB"/>
        </w:rPr>
        <w:t xml:space="preserve"> I</w:t>
      </w:r>
      <w:r w:rsidR="00994296" w:rsidRPr="003E3159">
        <w:rPr>
          <w:lang w:val="en-GB"/>
        </w:rPr>
        <w:t>t provides a</w:t>
      </w:r>
      <w:r w:rsidR="00994296">
        <w:rPr>
          <w:lang w:val="en-GB"/>
        </w:rPr>
        <w:t>n NQF Level 5 q</w:t>
      </w:r>
      <w:r w:rsidR="00994296" w:rsidRPr="003E3159">
        <w:rPr>
          <w:lang w:val="en-GB"/>
        </w:rPr>
        <w:t xml:space="preserve">ualification </w:t>
      </w:r>
      <w:r w:rsidR="00994296">
        <w:rPr>
          <w:lang w:val="en-GB"/>
        </w:rPr>
        <w:t xml:space="preserve">for the many teaching assistants in Deaf schools and </w:t>
      </w:r>
      <w:r w:rsidR="007C3766">
        <w:rPr>
          <w:lang w:val="en-GB"/>
        </w:rPr>
        <w:t xml:space="preserve">strengthens their competence and confidence to work with learners </w:t>
      </w:r>
      <w:r w:rsidR="00E07912">
        <w:rPr>
          <w:lang w:val="en-GB"/>
        </w:rPr>
        <w:t xml:space="preserve">and </w:t>
      </w:r>
      <w:r w:rsidR="007C3766">
        <w:rPr>
          <w:lang w:val="en-GB"/>
        </w:rPr>
        <w:t xml:space="preserve">enable them to achieve success. </w:t>
      </w:r>
    </w:p>
    <w:p w:rsidR="00D1483E" w:rsidRDefault="007C3766" w:rsidP="00FF70DA">
      <w:pPr>
        <w:rPr>
          <w:lang w:val="en-GB"/>
        </w:rPr>
      </w:pPr>
      <w:r>
        <w:rPr>
          <w:lang w:val="en-GB"/>
        </w:rPr>
        <w:t xml:space="preserve">Students who have successfully completed the </w:t>
      </w:r>
      <w:r w:rsidR="00442830">
        <w:rPr>
          <w:lang w:val="en-GB"/>
        </w:rPr>
        <w:t>HCE</w:t>
      </w:r>
      <w:r w:rsidR="00B7282A">
        <w:rPr>
          <w:lang w:val="en-GB"/>
        </w:rPr>
        <w:t xml:space="preserve"> </w:t>
      </w:r>
      <w:r>
        <w:rPr>
          <w:lang w:val="en-GB"/>
        </w:rPr>
        <w:t xml:space="preserve">would be in a strong position to </w:t>
      </w:r>
      <w:r w:rsidR="004A35AA" w:rsidRPr="004A35AA">
        <w:rPr>
          <w:lang w:val="en-GB"/>
        </w:rPr>
        <w:t>support the introduction of sign language into SA public schools in ways that will</w:t>
      </w:r>
      <w:r w:rsidR="00403968">
        <w:rPr>
          <w:lang w:val="en-GB"/>
        </w:rPr>
        <w:t xml:space="preserve"> also</w:t>
      </w:r>
      <w:r w:rsidR="004A35AA" w:rsidRPr="004A35AA">
        <w:rPr>
          <w:lang w:val="en-GB"/>
        </w:rPr>
        <w:t xml:space="preserve"> develop </w:t>
      </w:r>
      <w:r w:rsidR="0086039F">
        <w:rPr>
          <w:lang w:val="en-GB"/>
        </w:rPr>
        <w:t xml:space="preserve">their </w:t>
      </w:r>
      <w:r w:rsidR="004A35AA" w:rsidRPr="004A35AA">
        <w:rPr>
          <w:lang w:val="en-GB"/>
        </w:rPr>
        <w:t>own language and academic literacy skills.</w:t>
      </w:r>
      <w:r w:rsidR="00994296">
        <w:rPr>
          <w:lang w:val="en-GB"/>
        </w:rPr>
        <w:t xml:space="preserve"> </w:t>
      </w:r>
      <w:r>
        <w:rPr>
          <w:lang w:val="en-GB"/>
        </w:rPr>
        <w:t>Successful c</w:t>
      </w:r>
      <w:r w:rsidR="00994296" w:rsidRPr="004A35AA">
        <w:rPr>
          <w:lang w:val="en-GB"/>
        </w:rPr>
        <w:t xml:space="preserve">ompletion </w:t>
      </w:r>
      <w:r w:rsidR="00994296">
        <w:rPr>
          <w:lang w:val="en-GB"/>
        </w:rPr>
        <w:t xml:space="preserve">of the </w:t>
      </w:r>
      <w:r w:rsidR="00442830">
        <w:rPr>
          <w:lang w:val="en-GB"/>
        </w:rPr>
        <w:t>HCE</w:t>
      </w:r>
      <w:r w:rsidR="00B7282A">
        <w:rPr>
          <w:lang w:val="en-GB"/>
        </w:rPr>
        <w:t xml:space="preserve"> </w:t>
      </w:r>
      <w:r w:rsidR="00994296" w:rsidRPr="004A35AA">
        <w:rPr>
          <w:lang w:val="en-GB"/>
        </w:rPr>
        <w:t>may open opportunities for further study and/or for further work and/or an enhanced community contribution.</w:t>
      </w:r>
    </w:p>
    <w:p w:rsidR="00D97719" w:rsidRDefault="004A35AA" w:rsidP="00CA39EA">
      <w:pPr>
        <w:pStyle w:val="Heading1"/>
        <w:spacing w:before="360" w:after="240"/>
      </w:pPr>
      <w:r>
        <w:t xml:space="preserve">Key </w:t>
      </w:r>
      <w:r w:rsidR="00CC4A56">
        <w:t xml:space="preserve">Programme </w:t>
      </w:r>
      <w:r w:rsidR="001D7BCB">
        <w:t>O</w:t>
      </w:r>
      <w:r w:rsidR="001A1CE3">
        <w:t>utcomes</w:t>
      </w:r>
    </w:p>
    <w:p w:rsidR="00474D52" w:rsidRPr="00E54DE9" w:rsidRDefault="00474D52" w:rsidP="006B04C8">
      <w:pPr>
        <w:rPr>
          <w:rFonts w:cs="Arial"/>
        </w:rPr>
      </w:pPr>
      <w:r w:rsidRPr="00E54DE9">
        <w:rPr>
          <w:rFonts w:cs="Arial"/>
        </w:rPr>
        <w:t xml:space="preserve">The </w:t>
      </w:r>
      <w:r w:rsidR="00442830">
        <w:rPr>
          <w:rFonts w:cs="Arial"/>
        </w:rPr>
        <w:t>HCE</w:t>
      </w:r>
      <w:r w:rsidRPr="00E54DE9">
        <w:rPr>
          <w:rFonts w:cs="Arial"/>
        </w:rPr>
        <w:t xml:space="preserve"> exit level outcomes are based on a sub-set of the BEd exit level outcomes</w:t>
      </w:r>
      <w:r w:rsidR="006B04C8">
        <w:rPr>
          <w:rFonts w:cs="Arial"/>
        </w:rPr>
        <w:t xml:space="preserve">. </w:t>
      </w:r>
      <w:r w:rsidR="00FC10D8">
        <w:rPr>
          <w:rFonts w:cs="Arial"/>
        </w:rPr>
        <w:t xml:space="preserve">By the end of the </w:t>
      </w:r>
      <w:r w:rsidR="00442830">
        <w:rPr>
          <w:rFonts w:cs="Arial"/>
        </w:rPr>
        <w:t>HCE</w:t>
      </w:r>
      <w:r w:rsidR="00FC10D8">
        <w:rPr>
          <w:rFonts w:cs="Arial"/>
        </w:rPr>
        <w:t xml:space="preserve"> </w:t>
      </w:r>
      <w:r w:rsidR="006B04C8">
        <w:rPr>
          <w:rFonts w:cs="Arial"/>
        </w:rPr>
        <w:t xml:space="preserve">students are expected to </w:t>
      </w:r>
      <w:r w:rsidR="00FC10D8">
        <w:rPr>
          <w:rFonts w:cs="Arial"/>
        </w:rPr>
        <w:t xml:space="preserve">have acquired the </w:t>
      </w:r>
      <w:r w:rsidRPr="00E54DE9">
        <w:rPr>
          <w:rFonts w:cs="Arial"/>
        </w:rPr>
        <w:t>following competences:</w:t>
      </w:r>
    </w:p>
    <w:p w:rsidR="00474D52" w:rsidRPr="00E54DE9" w:rsidRDefault="00474D52" w:rsidP="006B04C8">
      <w:pPr>
        <w:numPr>
          <w:ilvl w:val="0"/>
          <w:numId w:val="9"/>
        </w:numPr>
        <w:spacing w:after="0" w:line="240" w:lineRule="auto"/>
        <w:rPr>
          <w:rFonts w:cs="Arial"/>
        </w:rPr>
      </w:pPr>
      <w:r w:rsidRPr="00E54DE9">
        <w:rPr>
          <w:rFonts w:cs="Arial"/>
        </w:rPr>
        <w:t xml:space="preserve">Demonstrate an introductory level </w:t>
      </w:r>
      <w:r w:rsidR="00FC10D8">
        <w:rPr>
          <w:rFonts w:cs="Arial"/>
        </w:rPr>
        <w:t>knowledge of</w:t>
      </w:r>
      <w:r w:rsidRPr="00E54DE9">
        <w:rPr>
          <w:rFonts w:cs="Arial"/>
        </w:rPr>
        <w:t xml:space="preserve"> South Africa</w:t>
      </w:r>
      <w:r w:rsidR="00FC10D8">
        <w:rPr>
          <w:rFonts w:cs="Arial"/>
        </w:rPr>
        <w:t>n</w:t>
      </w:r>
      <w:r w:rsidRPr="00E54DE9">
        <w:rPr>
          <w:rFonts w:cs="Arial"/>
        </w:rPr>
        <w:t xml:space="preserve"> Sign Language</w:t>
      </w:r>
      <w:r w:rsidR="00AE7AF4">
        <w:rPr>
          <w:rFonts w:cs="Arial"/>
        </w:rPr>
        <w:t xml:space="preserve"> Linguistics.</w:t>
      </w:r>
    </w:p>
    <w:p w:rsidR="00474D52" w:rsidRPr="00E54DE9" w:rsidRDefault="00474D52" w:rsidP="006B04C8">
      <w:pPr>
        <w:numPr>
          <w:ilvl w:val="0"/>
          <w:numId w:val="9"/>
        </w:numPr>
        <w:spacing w:after="0" w:line="240" w:lineRule="auto"/>
        <w:rPr>
          <w:rFonts w:cs="Arial"/>
        </w:rPr>
      </w:pPr>
      <w:r w:rsidRPr="00E54DE9">
        <w:rPr>
          <w:rFonts w:cs="Arial"/>
        </w:rPr>
        <w:t xml:space="preserve">Demonstrate an introductory knowledge of who their learners will be, how they learn, and understand the need to </w:t>
      </w:r>
      <w:r w:rsidR="00DA43E5" w:rsidRPr="00E54DE9">
        <w:rPr>
          <w:rFonts w:cs="Arial"/>
        </w:rPr>
        <w:t>gauge</w:t>
      </w:r>
      <w:r w:rsidRPr="00E54DE9">
        <w:rPr>
          <w:rFonts w:cs="Arial"/>
        </w:rPr>
        <w:t xml:space="preserve"> their learners’ individual needs in order to ta</w:t>
      </w:r>
      <w:r w:rsidR="00AE7AF4">
        <w:rPr>
          <w:rFonts w:cs="Arial"/>
        </w:rPr>
        <w:t xml:space="preserve">ilor their teaching </w:t>
      </w:r>
      <w:r w:rsidR="005E4218">
        <w:rPr>
          <w:rFonts w:cs="Arial"/>
        </w:rPr>
        <w:t xml:space="preserve">and assessment practices </w:t>
      </w:r>
      <w:r w:rsidR="00AE7AF4">
        <w:rPr>
          <w:rFonts w:cs="Arial"/>
        </w:rPr>
        <w:t>accordingly.</w:t>
      </w:r>
    </w:p>
    <w:p w:rsidR="00474D52" w:rsidRPr="00E54DE9" w:rsidRDefault="00474D52" w:rsidP="006B04C8">
      <w:pPr>
        <w:numPr>
          <w:ilvl w:val="0"/>
          <w:numId w:val="9"/>
        </w:numPr>
        <w:spacing w:after="0" w:line="240" w:lineRule="auto"/>
        <w:rPr>
          <w:rFonts w:cs="Arial"/>
        </w:rPr>
      </w:pPr>
      <w:r w:rsidRPr="00E54DE9">
        <w:rPr>
          <w:rFonts w:cs="Arial"/>
        </w:rPr>
        <w:t xml:space="preserve">Communicate effectively in general, as well as </w:t>
      </w:r>
      <w:r w:rsidR="00AE7AF4">
        <w:rPr>
          <w:rFonts w:cs="Arial"/>
        </w:rPr>
        <w:t>in relation to their subject(s).</w:t>
      </w:r>
    </w:p>
    <w:p w:rsidR="00474D52" w:rsidRPr="00E54DE9" w:rsidRDefault="00FC10D8" w:rsidP="006B04C8">
      <w:pPr>
        <w:numPr>
          <w:ilvl w:val="0"/>
          <w:numId w:val="9"/>
        </w:numPr>
        <w:spacing w:after="0" w:line="240" w:lineRule="auto"/>
        <w:rPr>
          <w:rFonts w:cs="Arial"/>
        </w:rPr>
      </w:pPr>
      <w:r>
        <w:rPr>
          <w:rFonts w:cs="Arial"/>
        </w:rPr>
        <w:t>Demonstrate NQF L</w:t>
      </w:r>
      <w:r w:rsidR="00474D52" w:rsidRPr="00E54DE9">
        <w:rPr>
          <w:rFonts w:cs="Arial"/>
        </w:rPr>
        <w:t>evel 5 appropriate competence in language and Inf</w:t>
      </w:r>
      <w:r w:rsidR="00AE7AF4">
        <w:rPr>
          <w:rFonts w:cs="Arial"/>
        </w:rPr>
        <w:t>ormation and Communication Technology (ICT) skills.</w:t>
      </w:r>
    </w:p>
    <w:p w:rsidR="00474D52" w:rsidRPr="00E54DE9" w:rsidRDefault="00474D52" w:rsidP="006B04C8">
      <w:pPr>
        <w:numPr>
          <w:ilvl w:val="0"/>
          <w:numId w:val="9"/>
        </w:numPr>
        <w:spacing w:after="0" w:line="240" w:lineRule="auto"/>
        <w:rPr>
          <w:rFonts w:cs="Arial"/>
        </w:rPr>
      </w:pPr>
      <w:r w:rsidRPr="00E54DE9">
        <w:rPr>
          <w:rFonts w:cs="Arial"/>
        </w:rPr>
        <w:t>Demonstrate an introductory knowledge of one or more a</w:t>
      </w:r>
      <w:r w:rsidR="00AE7AF4">
        <w:rPr>
          <w:rFonts w:cs="Arial"/>
        </w:rPr>
        <w:t>spects of the school curriculum.</w:t>
      </w:r>
    </w:p>
    <w:p w:rsidR="00474D52" w:rsidRPr="00E54DE9" w:rsidRDefault="00474D52" w:rsidP="006B04C8">
      <w:pPr>
        <w:numPr>
          <w:ilvl w:val="0"/>
          <w:numId w:val="9"/>
        </w:numPr>
        <w:spacing w:after="0" w:line="240" w:lineRule="auto"/>
        <w:rPr>
          <w:rFonts w:cs="Arial"/>
        </w:rPr>
      </w:pPr>
      <w:r w:rsidRPr="00E54DE9">
        <w:rPr>
          <w:rFonts w:cs="Arial"/>
        </w:rPr>
        <w:t>Demonstrate ability to ident</w:t>
      </w:r>
      <w:r w:rsidR="00AE7AF4">
        <w:rPr>
          <w:rFonts w:cs="Arial"/>
        </w:rPr>
        <w:t>ify learning or social problems.</w:t>
      </w:r>
    </w:p>
    <w:p w:rsidR="00474D52" w:rsidRPr="00E54DE9" w:rsidRDefault="00474D52" w:rsidP="006B04C8">
      <w:pPr>
        <w:numPr>
          <w:ilvl w:val="0"/>
          <w:numId w:val="9"/>
        </w:numPr>
        <w:spacing w:after="0" w:line="240" w:lineRule="auto"/>
        <w:rPr>
          <w:rFonts w:cs="Arial"/>
        </w:rPr>
      </w:pPr>
      <w:r w:rsidRPr="00E54DE9">
        <w:rPr>
          <w:rFonts w:cs="Arial"/>
        </w:rPr>
        <w:t>Demonstrate a positive work ethic, display appropriate values and conduct themselves in a manner that befits, enhances and d</w:t>
      </w:r>
      <w:r w:rsidR="00AE7AF4">
        <w:rPr>
          <w:rFonts w:cs="Arial"/>
        </w:rPr>
        <w:t>evelops the teaching profession.</w:t>
      </w:r>
    </w:p>
    <w:p w:rsidR="00474D52" w:rsidRPr="00E54DE9" w:rsidRDefault="00474D52" w:rsidP="006B04C8">
      <w:pPr>
        <w:numPr>
          <w:ilvl w:val="0"/>
          <w:numId w:val="9"/>
        </w:numPr>
        <w:spacing w:after="0" w:line="240" w:lineRule="auto"/>
        <w:rPr>
          <w:rFonts w:cs="Arial"/>
        </w:rPr>
      </w:pPr>
      <w:r w:rsidRPr="00E54DE9">
        <w:rPr>
          <w:rFonts w:cs="Arial"/>
        </w:rPr>
        <w:t>Reflect critically, in increasingly theoretically informed ways and in conjunction with their community of peers on their own practice in order to constantly improve and adapt it to evolving circumstances.</w:t>
      </w:r>
    </w:p>
    <w:p w:rsidR="006020C0" w:rsidRDefault="001D7BCB" w:rsidP="006418E2">
      <w:pPr>
        <w:pStyle w:val="Heading1"/>
        <w:spacing w:before="360" w:after="240"/>
      </w:pPr>
      <w:r>
        <w:t>Intended Target G</w:t>
      </w:r>
      <w:r w:rsidR="0083495B">
        <w:t xml:space="preserve">roup </w:t>
      </w:r>
    </w:p>
    <w:p w:rsidR="004A35AA" w:rsidRDefault="004A35AA" w:rsidP="004A35AA">
      <w:r>
        <w:t xml:space="preserve">The </w:t>
      </w:r>
      <w:r w:rsidR="00442830">
        <w:t>HCE</w:t>
      </w:r>
      <w:r>
        <w:t xml:space="preserve"> is primarily intended to offer </w:t>
      </w:r>
      <w:r w:rsidR="0094682F">
        <w:t xml:space="preserve">the </w:t>
      </w:r>
      <w:r>
        <w:t xml:space="preserve">Deaf an opportunity to enter the field of education and training. </w:t>
      </w:r>
      <w:r w:rsidR="00EC335F">
        <w:rPr>
          <w:rStyle w:val="FootnoteReference"/>
        </w:rPr>
        <w:footnoteReference w:id="3"/>
      </w:r>
      <w:r>
        <w:t xml:space="preserve">Candidates for the </w:t>
      </w:r>
      <w:r w:rsidR="00442830">
        <w:t>HCE</w:t>
      </w:r>
      <w:r>
        <w:t xml:space="preserve"> would be: </w:t>
      </w:r>
    </w:p>
    <w:p w:rsidR="004A35AA" w:rsidRDefault="004A35AA" w:rsidP="004A35AA">
      <w:pPr>
        <w:pStyle w:val="ListParagraph"/>
        <w:numPr>
          <w:ilvl w:val="0"/>
          <w:numId w:val="8"/>
        </w:numPr>
      </w:pPr>
      <w:r>
        <w:t>Teaching assistants at the NID College and schools for the Deaf</w:t>
      </w:r>
      <w:r w:rsidR="0094682F">
        <w:t xml:space="preserve">. </w:t>
      </w:r>
      <w:r>
        <w:t xml:space="preserve">Teaching assistants are usually Deaf </w:t>
      </w:r>
      <w:r w:rsidR="007F4DE4">
        <w:t xml:space="preserve">persons </w:t>
      </w:r>
      <w:r>
        <w:t xml:space="preserve">who are competent or fluent in South African Sign Language and who show a particular aptitude to provide assistance to learners involved in diverse learning </w:t>
      </w:r>
      <w:r>
        <w:lastRenderedPageBreak/>
        <w:t>programmes. They have successfully completed an NQF Level 4 programme and can use participation in the Programme as a stepping-stone to a possible career in teaching and/or training.</w:t>
      </w:r>
    </w:p>
    <w:p w:rsidR="004A35AA" w:rsidRDefault="004A35AA" w:rsidP="004A35AA">
      <w:pPr>
        <w:pStyle w:val="ListParagraph"/>
        <w:numPr>
          <w:ilvl w:val="0"/>
          <w:numId w:val="8"/>
        </w:numPr>
      </w:pPr>
      <w:r>
        <w:t>Students at NID who</w:t>
      </w:r>
      <w:r w:rsidR="00AE7AF4">
        <w:t xml:space="preserve"> have completed an NQF Level 4 Vocational </w:t>
      </w:r>
      <w:r>
        <w:t>programme and who are interested in an education and training career.</w:t>
      </w:r>
    </w:p>
    <w:p w:rsidR="004A35AA" w:rsidRDefault="004A35AA" w:rsidP="004A35AA">
      <w:pPr>
        <w:pStyle w:val="ListParagraph"/>
        <w:numPr>
          <w:ilvl w:val="0"/>
          <w:numId w:val="8"/>
        </w:numPr>
      </w:pPr>
      <w:r>
        <w:t xml:space="preserve">Persons who are already involved in working with the Deaf and who would be interested in a programme that develops their competences as educators. </w:t>
      </w:r>
    </w:p>
    <w:p w:rsidR="00BF2F1E" w:rsidRDefault="004A35AA" w:rsidP="004A35AA">
      <w:r>
        <w:t xml:space="preserve">In addition, the </w:t>
      </w:r>
      <w:r w:rsidR="00442830">
        <w:t>HCE</w:t>
      </w:r>
      <w:r w:rsidR="00EC335F">
        <w:t xml:space="preserve"> </w:t>
      </w:r>
      <w:r>
        <w:t xml:space="preserve">would offer a unique professional development opportunity to vocational and occupational educators at the NID College in Worcester, teachers in South African schools for the Deaf, teachers in inclusive education schools, and teachers in Education of Learners with Special Needs (ELSEN) schools. This group of educators comprises mainly hearing persons. </w:t>
      </w:r>
    </w:p>
    <w:p w:rsidR="00BF2F1E" w:rsidRDefault="00BF2F1E" w:rsidP="00BF2F1E">
      <w:pPr>
        <w:pStyle w:val="Heading1"/>
        <w:spacing w:before="360" w:after="240"/>
      </w:pPr>
      <w:r>
        <w:t>Programme Access</w:t>
      </w:r>
    </w:p>
    <w:p w:rsidR="00BF2F1E" w:rsidRDefault="00BF2F1E" w:rsidP="00BF2F1E">
      <w:r>
        <w:t xml:space="preserve">The </w:t>
      </w:r>
      <w:r>
        <w:rPr>
          <w:rStyle w:val="FootnoteReference"/>
        </w:rPr>
        <w:footnoteReference w:id="4"/>
      </w:r>
      <w:r>
        <w:t xml:space="preserve">NID team has endorsed open access to the HCE with a view to widening participation. By open access we mean Deaf and Persons with </w:t>
      </w:r>
      <w:r w:rsidR="00B45597">
        <w:t>hearing loss</w:t>
      </w:r>
      <w:r>
        <w:t xml:space="preserve"> </w:t>
      </w:r>
      <w:r w:rsidR="003F6F32">
        <w:t xml:space="preserve">and hearing persons </w:t>
      </w:r>
      <w:r>
        <w:t xml:space="preserve">who are interested in the HCE can register. Prospective students are expected to provide evidence of: </w:t>
      </w:r>
    </w:p>
    <w:p w:rsidR="00BF2F1E" w:rsidRDefault="00BF2F1E" w:rsidP="001D7BCB">
      <w:pPr>
        <w:pStyle w:val="ListParagraph"/>
        <w:numPr>
          <w:ilvl w:val="0"/>
          <w:numId w:val="43"/>
        </w:numPr>
      </w:pPr>
      <w:r>
        <w:t>A completed Grade 12, Level 4 Occupational Training Programme, or equivalent.</w:t>
      </w:r>
    </w:p>
    <w:p w:rsidR="00BF2F1E" w:rsidRDefault="00BF2F1E" w:rsidP="001D7BCB">
      <w:pPr>
        <w:pStyle w:val="ListParagraph"/>
        <w:numPr>
          <w:ilvl w:val="0"/>
          <w:numId w:val="43"/>
        </w:numPr>
      </w:pPr>
      <w:r>
        <w:t>An ability to read, write, and understand English at an NQF level 4.</w:t>
      </w:r>
    </w:p>
    <w:p w:rsidR="00BF2F1E" w:rsidRDefault="00BF2F1E" w:rsidP="001D7BCB">
      <w:pPr>
        <w:pStyle w:val="ListParagraph"/>
        <w:numPr>
          <w:ilvl w:val="0"/>
          <w:numId w:val="43"/>
        </w:numPr>
      </w:pPr>
      <w:r>
        <w:t xml:space="preserve">Fluency in South African Sign Language (SASL) is highly recommended but basic competence will be a pre-requisite. </w:t>
      </w:r>
      <w:r w:rsidR="006D6726">
        <w:rPr>
          <w:lang w:val="en-GB"/>
        </w:rPr>
        <w:t>A</w:t>
      </w:r>
      <w:r w:rsidR="006D6726" w:rsidRPr="006D6726">
        <w:rPr>
          <w:lang w:val="en-GB"/>
        </w:rPr>
        <w:t xml:space="preserve">ssessment of sign language skills </w:t>
      </w:r>
      <w:r w:rsidR="006D6726">
        <w:rPr>
          <w:lang w:val="en-GB"/>
        </w:rPr>
        <w:t xml:space="preserve">is </w:t>
      </w:r>
      <w:r w:rsidR="006D6726" w:rsidRPr="006D6726">
        <w:rPr>
          <w:lang w:val="en-GB"/>
        </w:rPr>
        <w:t>included in the selection process</w:t>
      </w:r>
      <w:r w:rsidR="006D6726">
        <w:rPr>
          <w:lang w:val="en-GB"/>
        </w:rPr>
        <w:t>.</w:t>
      </w:r>
    </w:p>
    <w:p w:rsidR="001D7BCB" w:rsidRDefault="00BF2F1E" w:rsidP="001D7BCB">
      <w:pPr>
        <w:spacing w:after="0"/>
      </w:pPr>
      <w:r>
        <w:t>A</w:t>
      </w:r>
      <w:r w:rsidR="006D6726">
        <w:t xml:space="preserve"> selection and </w:t>
      </w:r>
      <w:r w:rsidR="001D7BCB">
        <w:t xml:space="preserve">ability screening </w:t>
      </w:r>
      <w:r w:rsidR="00485B0A">
        <w:t xml:space="preserve">process </w:t>
      </w:r>
      <w:r w:rsidR="006D6726">
        <w:t xml:space="preserve">should </w:t>
      </w:r>
      <w:r w:rsidR="001D7BCB">
        <w:t>be implemented to:</w:t>
      </w:r>
    </w:p>
    <w:p w:rsidR="001D7BCB" w:rsidRDefault="00BF2F1E" w:rsidP="001D7BCB">
      <w:pPr>
        <w:pStyle w:val="ListParagraph"/>
        <w:numPr>
          <w:ilvl w:val="0"/>
          <w:numId w:val="41"/>
        </w:numPr>
      </w:pPr>
      <w:r>
        <w:t xml:space="preserve">enable access to </w:t>
      </w:r>
      <w:r w:rsidR="001D7BCB">
        <w:t xml:space="preserve">the HCE for </w:t>
      </w:r>
      <w:r>
        <w:t>persons who do not have an NQF Level 4 qualification but who have proven experience of working with the Deaf and individuals who wish to embark on a career path in education and training of the Deaf</w:t>
      </w:r>
      <w:r w:rsidR="001D7BCB">
        <w:t>;</w:t>
      </w:r>
    </w:p>
    <w:p w:rsidR="001D7BCB" w:rsidRDefault="001D7BCB" w:rsidP="001D7BCB">
      <w:pPr>
        <w:pStyle w:val="ListParagraph"/>
        <w:numPr>
          <w:ilvl w:val="0"/>
          <w:numId w:val="41"/>
        </w:numPr>
      </w:pPr>
      <w:r>
        <w:t>determine the suitability of candidates for participating successfully in the HCE;</w:t>
      </w:r>
    </w:p>
    <w:p w:rsidR="00BF2F1E" w:rsidRDefault="001D7BCB" w:rsidP="006D6726">
      <w:pPr>
        <w:pStyle w:val="ListParagraph"/>
        <w:numPr>
          <w:ilvl w:val="0"/>
          <w:numId w:val="41"/>
        </w:numPr>
      </w:pPr>
      <w:r>
        <w:t xml:space="preserve">identify pre-programme support </w:t>
      </w:r>
      <w:r w:rsidR="005E4218">
        <w:t xml:space="preserve">and/or specified short skills programmes </w:t>
      </w:r>
      <w:r>
        <w:t xml:space="preserve">for candidates who are not yet ready to participate in </w:t>
      </w:r>
      <w:r w:rsidR="005E4218">
        <w:t xml:space="preserve">the </w:t>
      </w:r>
      <w:r>
        <w:t xml:space="preserve">HCE. </w:t>
      </w:r>
      <w:r w:rsidR="006D6726">
        <w:t xml:space="preserve">For example, </w:t>
      </w:r>
      <w:r w:rsidR="006D6726">
        <w:rPr>
          <w:lang w:val="en-GB"/>
        </w:rPr>
        <w:t>a</w:t>
      </w:r>
      <w:r w:rsidR="006D6726" w:rsidRPr="006D6726">
        <w:rPr>
          <w:lang w:val="en-GB"/>
        </w:rPr>
        <w:t xml:space="preserve">pplicants who lack sufficient </w:t>
      </w:r>
      <w:r w:rsidR="00485B0A">
        <w:rPr>
          <w:lang w:val="en-GB"/>
        </w:rPr>
        <w:t>South African Sign L</w:t>
      </w:r>
      <w:r w:rsidR="006D6726">
        <w:rPr>
          <w:lang w:val="en-GB"/>
        </w:rPr>
        <w:t xml:space="preserve">anguage </w:t>
      </w:r>
      <w:r w:rsidR="006D6726" w:rsidRPr="006D6726">
        <w:rPr>
          <w:lang w:val="en-GB"/>
        </w:rPr>
        <w:t>competence will be referred to a provider where this competence can be gained prior to re-application.</w:t>
      </w:r>
    </w:p>
    <w:p w:rsidR="003C7C66" w:rsidRDefault="004A35AA" w:rsidP="0083495B">
      <w:pPr>
        <w:pStyle w:val="Heading1"/>
        <w:spacing w:before="360" w:after="240"/>
      </w:pPr>
      <w:r>
        <w:t xml:space="preserve">Programme </w:t>
      </w:r>
      <w:r w:rsidR="009021FC">
        <w:t>Design</w:t>
      </w:r>
      <w:r w:rsidR="002873FA">
        <w:t xml:space="preserve"> Features</w:t>
      </w:r>
    </w:p>
    <w:p w:rsidR="00642403" w:rsidRDefault="0031723B" w:rsidP="00B4558C">
      <w:r>
        <w:t xml:space="preserve">The </w:t>
      </w:r>
      <w:r w:rsidR="008D06C7">
        <w:t xml:space="preserve">design of the </w:t>
      </w:r>
      <w:r w:rsidR="00442830">
        <w:t xml:space="preserve">HCE </w:t>
      </w:r>
      <w:r w:rsidR="00CF0E35">
        <w:t xml:space="preserve">is informed by </w:t>
      </w:r>
      <w:r w:rsidR="003446FB">
        <w:t xml:space="preserve">principles that support experiential, </w:t>
      </w:r>
      <w:r w:rsidR="0076590C">
        <w:t xml:space="preserve">reflective, </w:t>
      </w:r>
      <w:r w:rsidR="007730C5">
        <w:t>self-</w:t>
      </w:r>
      <w:r w:rsidR="003446FB">
        <w:t>directed and collaborative learning</w:t>
      </w:r>
      <w:r w:rsidR="00ED7448">
        <w:t xml:space="preserve">. </w:t>
      </w:r>
      <w:r w:rsidR="001A1CE3">
        <w:t xml:space="preserve">Learning from experience </w:t>
      </w:r>
      <w:r w:rsidR="00D7667D">
        <w:t xml:space="preserve">is a natural process </w:t>
      </w:r>
      <w:r w:rsidR="00706006">
        <w:t>in which we learn by doing</w:t>
      </w:r>
      <w:r w:rsidR="00750A79">
        <w:t>.</w:t>
      </w:r>
      <w:r w:rsidR="00706006">
        <w:t xml:space="preserve"> The focus </w:t>
      </w:r>
      <w:r w:rsidR="002105A4">
        <w:t xml:space="preserve">in experiential learning </w:t>
      </w:r>
      <w:r w:rsidR="00706006">
        <w:t>is on indiv</w:t>
      </w:r>
      <w:r w:rsidR="007730C5">
        <w:t>iduals finding out things first-</w:t>
      </w:r>
      <w:r w:rsidR="00706006">
        <w:t>hand</w:t>
      </w:r>
      <w:r w:rsidR="002105A4">
        <w:t>, reflecting on what they are discovering</w:t>
      </w:r>
      <w:r w:rsidR="006D2FAE">
        <w:t>,</w:t>
      </w:r>
      <w:r w:rsidR="002105A4">
        <w:t xml:space="preserve"> and</w:t>
      </w:r>
      <w:r w:rsidR="00706006">
        <w:t xml:space="preserve"> in the process build</w:t>
      </w:r>
      <w:r w:rsidR="002105A4">
        <w:t>ing</w:t>
      </w:r>
      <w:r w:rsidR="00706006">
        <w:t xml:space="preserve"> their knowledge base. </w:t>
      </w:r>
      <w:r w:rsidR="00B4558C">
        <w:t>Over the years theorists have tried to explain what happens during experiential learning</w:t>
      </w:r>
      <w:r w:rsidR="00750A79">
        <w:t xml:space="preserve"> and many models and methods exist</w:t>
      </w:r>
      <w:r w:rsidR="00B4558C">
        <w:t xml:space="preserve">. </w:t>
      </w:r>
      <w:r w:rsidR="002105A4">
        <w:t>David Kolb</w:t>
      </w:r>
      <w:r w:rsidR="00642403">
        <w:t xml:space="preserve">, </w:t>
      </w:r>
      <w:r w:rsidR="002105A4">
        <w:t>a</w:t>
      </w:r>
      <w:r w:rsidR="00706006">
        <w:t xml:space="preserve"> prominent proponent of experiential learning</w:t>
      </w:r>
      <w:r w:rsidR="00642403">
        <w:t xml:space="preserve">, </w:t>
      </w:r>
      <w:r w:rsidR="00CB3F86">
        <w:t xml:space="preserve">views experiential learning as a continuous process grounded in experience. His </w:t>
      </w:r>
      <w:r w:rsidR="00642403">
        <w:t>Experiential Learning Model (ELM</w:t>
      </w:r>
      <w:r w:rsidR="00CB3F86">
        <w:t xml:space="preserve">) </w:t>
      </w:r>
      <w:r w:rsidR="00642403">
        <w:t xml:space="preserve">comprises </w:t>
      </w:r>
      <w:r w:rsidR="00642403" w:rsidRPr="00642403">
        <w:t xml:space="preserve">four </w:t>
      </w:r>
      <w:r w:rsidR="00642403" w:rsidRPr="00642403">
        <w:lastRenderedPageBreak/>
        <w:t>interrelated elements: concrete experience, observation of and reflection o</w:t>
      </w:r>
      <w:r w:rsidR="000C589D">
        <w:t>n</w:t>
      </w:r>
      <w:r w:rsidR="00642403" w:rsidRPr="00642403">
        <w:t xml:space="preserve"> that experience, formation of abstract concepts based on reflection, testing the new concepts. </w:t>
      </w:r>
      <w:r w:rsidR="00CB3F86">
        <w:t xml:space="preserve">And then the process is repeated. Kolb recognizes that </w:t>
      </w:r>
      <w:r w:rsidR="000764F2">
        <w:t xml:space="preserve">experience alone is not necessarily educative and that </w:t>
      </w:r>
      <w:r w:rsidR="00CB3F86">
        <w:t xml:space="preserve">reflection is a crucial element of experiential learning: </w:t>
      </w:r>
    </w:p>
    <w:p w:rsidR="00B4558C" w:rsidRPr="00B4558C" w:rsidRDefault="00CB3F86" w:rsidP="00B4558C">
      <w:pPr>
        <w:spacing w:after="0" w:line="240" w:lineRule="auto"/>
        <w:ind w:left="720"/>
        <w:rPr>
          <w:sz w:val="20"/>
        </w:rPr>
      </w:pPr>
      <w:r>
        <w:rPr>
          <w:sz w:val="20"/>
        </w:rPr>
        <w:t>I</w:t>
      </w:r>
      <w:r w:rsidR="00B4558C" w:rsidRPr="00B4558C">
        <w:rPr>
          <w:sz w:val="20"/>
        </w:rPr>
        <w:t>n order to gain genuine knowledge from an experience, certain abilities are required:</w:t>
      </w:r>
    </w:p>
    <w:p w:rsidR="00B4558C" w:rsidRPr="00B4558C" w:rsidRDefault="00B4558C" w:rsidP="00B4558C">
      <w:pPr>
        <w:pStyle w:val="ListParagraph"/>
        <w:numPr>
          <w:ilvl w:val="0"/>
          <w:numId w:val="2"/>
        </w:numPr>
        <w:spacing w:after="0" w:line="240" w:lineRule="auto"/>
        <w:rPr>
          <w:sz w:val="20"/>
        </w:rPr>
      </w:pPr>
      <w:r w:rsidRPr="00B4558C">
        <w:rPr>
          <w:sz w:val="20"/>
        </w:rPr>
        <w:t>The learner must be willing to be actively involved in the experience;</w:t>
      </w:r>
    </w:p>
    <w:p w:rsidR="00B4558C" w:rsidRPr="00B4558C" w:rsidRDefault="00B4558C" w:rsidP="00B4558C">
      <w:pPr>
        <w:pStyle w:val="ListParagraph"/>
        <w:numPr>
          <w:ilvl w:val="0"/>
          <w:numId w:val="2"/>
        </w:numPr>
        <w:spacing w:after="0" w:line="240" w:lineRule="auto"/>
        <w:rPr>
          <w:sz w:val="20"/>
        </w:rPr>
      </w:pPr>
      <w:r w:rsidRPr="00B4558C">
        <w:rPr>
          <w:sz w:val="20"/>
        </w:rPr>
        <w:t>The learner must be able to reflect on the experience;</w:t>
      </w:r>
    </w:p>
    <w:p w:rsidR="00B4558C" w:rsidRPr="00B4558C" w:rsidRDefault="00B4558C" w:rsidP="00B4558C">
      <w:pPr>
        <w:pStyle w:val="ListParagraph"/>
        <w:numPr>
          <w:ilvl w:val="0"/>
          <w:numId w:val="2"/>
        </w:numPr>
        <w:spacing w:after="0" w:line="240" w:lineRule="auto"/>
        <w:rPr>
          <w:sz w:val="20"/>
        </w:rPr>
      </w:pPr>
      <w:r w:rsidRPr="00B4558C">
        <w:rPr>
          <w:sz w:val="20"/>
        </w:rPr>
        <w:t>The learner must possess and use analytical skills to conceptualize the experience; and</w:t>
      </w:r>
    </w:p>
    <w:p w:rsidR="00B4558C" w:rsidRPr="00B4558C" w:rsidRDefault="00B4558C" w:rsidP="00B4558C">
      <w:pPr>
        <w:pStyle w:val="ListParagraph"/>
        <w:numPr>
          <w:ilvl w:val="0"/>
          <w:numId w:val="2"/>
        </w:numPr>
        <w:spacing w:after="0" w:line="240" w:lineRule="auto"/>
        <w:rPr>
          <w:sz w:val="20"/>
        </w:rPr>
      </w:pPr>
      <w:r w:rsidRPr="00B4558C">
        <w:rPr>
          <w:sz w:val="20"/>
        </w:rPr>
        <w:t>The learner must possess decision making and problem solving skills in order to use the new ideas gained from the experience.</w:t>
      </w:r>
      <w:r w:rsidR="002105A4">
        <w:rPr>
          <w:sz w:val="20"/>
        </w:rPr>
        <w:t xml:space="preserve"> (</w:t>
      </w:r>
      <w:r w:rsidR="00642403">
        <w:rPr>
          <w:sz w:val="20"/>
        </w:rPr>
        <w:t xml:space="preserve">Kolb,1984) </w:t>
      </w:r>
    </w:p>
    <w:p w:rsidR="00D7667D" w:rsidRDefault="00D7667D" w:rsidP="00D7667D">
      <w:pPr>
        <w:spacing w:after="0" w:line="240" w:lineRule="auto"/>
      </w:pPr>
    </w:p>
    <w:p w:rsidR="00750A79" w:rsidRDefault="00750A79" w:rsidP="00071339">
      <w:r>
        <w:t xml:space="preserve">A consistent focus in the different experiential learning models and methods developed over time is the central place of reflection. </w:t>
      </w:r>
      <w:r w:rsidR="008F5605">
        <w:t xml:space="preserve">An </w:t>
      </w:r>
      <w:r>
        <w:t xml:space="preserve">approach to </w:t>
      </w:r>
      <w:r w:rsidR="000764F2">
        <w:t>reflection developed by Boud and Walker highlights three phases of reflection.</w:t>
      </w:r>
    </w:p>
    <w:p w:rsidR="000764F2" w:rsidRPr="000764F2" w:rsidRDefault="000764F2" w:rsidP="0074496E">
      <w:pPr>
        <w:pStyle w:val="ListParagraph"/>
        <w:numPr>
          <w:ilvl w:val="0"/>
          <w:numId w:val="3"/>
        </w:numPr>
        <w:spacing w:after="0" w:line="240" w:lineRule="auto"/>
        <w:ind w:left="1134" w:hanging="425"/>
        <w:rPr>
          <w:sz w:val="20"/>
        </w:rPr>
      </w:pPr>
      <w:r w:rsidRPr="000764F2">
        <w:rPr>
          <w:sz w:val="20"/>
        </w:rPr>
        <w:t>P</w:t>
      </w:r>
      <w:r w:rsidR="00750A79" w:rsidRPr="000764F2">
        <w:rPr>
          <w:sz w:val="20"/>
        </w:rPr>
        <w:t xml:space="preserve">reparation for experiential events, where it is important to focus on the learner, the learning milieu and the skills and strategies employed in reflection; </w:t>
      </w:r>
    </w:p>
    <w:p w:rsidR="000764F2" w:rsidRDefault="008F5605" w:rsidP="0074496E">
      <w:pPr>
        <w:pStyle w:val="ListParagraph"/>
        <w:numPr>
          <w:ilvl w:val="0"/>
          <w:numId w:val="3"/>
        </w:numPr>
        <w:spacing w:after="0" w:line="240" w:lineRule="auto"/>
        <w:ind w:left="1134" w:hanging="425"/>
        <w:rPr>
          <w:sz w:val="20"/>
        </w:rPr>
      </w:pPr>
      <w:r>
        <w:rPr>
          <w:sz w:val="20"/>
        </w:rPr>
        <w:t>R</w:t>
      </w:r>
      <w:r w:rsidR="00750A79" w:rsidRPr="000764F2">
        <w:rPr>
          <w:sz w:val="20"/>
        </w:rPr>
        <w:t xml:space="preserve">eflection during an experiential activity, with its phases of noticing and intervening; and </w:t>
      </w:r>
    </w:p>
    <w:p w:rsidR="00750A79" w:rsidRPr="000764F2" w:rsidRDefault="008F5605" w:rsidP="0074496E">
      <w:pPr>
        <w:pStyle w:val="ListParagraph"/>
        <w:numPr>
          <w:ilvl w:val="0"/>
          <w:numId w:val="3"/>
        </w:numPr>
        <w:spacing w:after="0" w:line="240" w:lineRule="auto"/>
        <w:ind w:left="1134" w:hanging="425"/>
        <w:rPr>
          <w:sz w:val="20"/>
        </w:rPr>
      </w:pPr>
      <w:r>
        <w:rPr>
          <w:sz w:val="20"/>
        </w:rPr>
        <w:t>R</w:t>
      </w:r>
      <w:r w:rsidR="00750A79" w:rsidRPr="000764F2">
        <w:rPr>
          <w:sz w:val="20"/>
        </w:rPr>
        <w:t>eflection after the event, involving the individual in returning to experience, attending to feelings, and re-evaluating the experience. (</w:t>
      </w:r>
      <w:r w:rsidR="00071339">
        <w:rPr>
          <w:sz w:val="20"/>
        </w:rPr>
        <w:t>Boud, Walker, 1990</w:t>
      </w:r>
      <w:r w:rsidR="006D2FAE">
        <w:rPr>
          <w:sz w:val="20"/>
        </w:rPr>
        <w:t xml:space="preserve"> c</w:t>
      </w:r>
      <w:r w:rsidR="00B7343A">
        <w:rPr>
          <w:sz w:val="20"/>
        </w:rPr>
        <w:t>ited in Andresen, Boud, &amp; Cohen</w:t>
      </w:r>
      <w:r w:rsidR="00071339">
        <w:rPr>
          <w:sz w:val="20"/>
        </w:rPr>
        <w:t>)</w:t>
      </w:r>
      <w:r w:rsidR="00750A79" w:rsidRPr="000764F2">
        <w:rPr>
          <w:sz w:val="20"/>
        </w:rPr>
        <w:t xml:space="preserve"> </w:t>
      </w:r>
    </w:p>
    <w:p w:rsidR="00750A79" w:rsidRPr="000764F2" w:rsidRDefault="00750A79" w:rsidP="000764F2">
      <w:pPr>
        <w:spacing w:after="0" w:line="240" w:lineRule="auto"/>
        <w:rPr>
          <w:sz w:val="20"/>
        </w:rPr>
      </w:pPr>
    </w:p>
    <w:p w:rsidR="008129EE" w:rsidRDefault="006D6726" w:rsidP="006D2FAE">
      <w:r>
        <w:rPr>
          <w:noProof/>
          <w:lang w:val="en-US" w:eastAsia="en-US"/>
        </w:rPr>
        <w:drawing>
          <wp:anchor distT="0" distB="0" distL="114300" distR="114300" simplePos="0" relativeHeight="251678720" behindDoc="0" locked="0" layoutInCell="1" allowOverlap="1">
            <wp:simplePos x="0" y="0"/>
            <wp:positionH relativeFrom="column">
              <wp:posOffset>0</wp:posOffset>
            </wp:positionH>
            <wp:positionV relativeFrom="paragraph">
              <wp:posOffset>1036955</wp:posOffset>
            </wp:positionV>
            <wp:extent cx="5372100" cy="4098925"/>
            <wp:effectExtent l="25400" t="0" r="0" b="0"/>
            <wp:wrapTight wrapText="bothSides">
              <wp:wrapPolygon edited="0">
                <wp:start x="-102" y="0"/>
                <wp:lineTo x="-102" y="21550"/>
                <wp:lineTo x="21549" y="21550"/>
                <wp:lineTo x="21549" y="0"/>
                <wp:lineTo x="-102"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372100" cy="4098925"/>
                    </a:xfrm>
                    <a:prstGeom prst="rect">
                      <a:avLst/>
                    </a:prstGeom>
                    <a:noFill/>
                    <a:ln w="9525">
                      <a:noFill/>
                      <a:miter lim="800000"/>
                      <a:headEnd/>
                      <a:tailEnd/>
                    </a:ln>
                  </pic:spPr>
                </pic:pic>
              </a:graphicData>
            </a:graphic>
          </wp:anchor>
        </w:drawing>
      </w:r>
      <w:r w:rsidR="00071339">
        <w:t xml:space="preserve">Experiential learning models and methods continue to be adapted and remain a helpful framework to </w:t>
      </w:r>
      <w:r w:rsidR="00FA4298">
        <w:t>inform</w:t>
      </w:r>
      <w:r w:rsidR="00071339">
        <w:t xml:space="preserve"> the design of training and development interventions</w:t>
      </w:r>
      <w:r w:rsidR="00FA4298">
        <w:t xml:space="preserve"> in a range of contexts. </w:t>
      </w:r>
      <w:r w:rsidR="006D2FAE">
        <w:t>Active participation</w:t>
      </w:r>
      <w:r w:rsidR="00FA4298">
        <w:t xml:space="preserve">, individual critical reflection, </w:t>
      </w:r>
      <w:r w:rsidR="006D2FAE">
        <w:t xml:space="preserve">collaborative </w:t>
      </w:r>
      <w:r w:rsidR="00FA4298">
        <w:t>sharing</w:t>
      </w:r>
      <w:r w:rsidR="00604FBC">
        <w:t>,</w:t>
      </w:r>
      <w:r w:rsidR="00FA4298">
        <w:t xml:space="preserve"> and </w:t>
      </w:r>
      <w:r w:rsidR="006D2FAE">
        <w:t xml:space="preserve">reflections on experiences </w:t>
      </w:r>
      <w:r w:rsidR="00FA4298">
        <w:t xml:space="preserve">are key features of learning interventions that have a high likelihood </w:t>
      </w:r>
      <w:r w:rsidR="008F5605">
        <w:t>of success for</w:t>
      </w:r>
      <w:r w:rsidR="00FB391E">
        <w:t xml:space="preserve"> </w:t>
      </w:r>
      <w:r w:rsidR="008F5605">
        <w:t>learners</w:t>
      </w:r>
      <w:r w:rsidR="0040233A">
        <w:t xml:space="preserve">. </w:t>
      </w:r>
      <w:r w:rsidR="00506F7C">
        <w:t xml:space="preserve">The </w:t>
      </w:r>
      <w:r w:rsidR="00442830">
        <w:t>HCE</w:t>
      </w:r>
      <w:r w:rsidR="00312632">
        <w:t xml:space="preserve"> </w:t>
      </w:r>
      <w:r w:rsidR="006D2FAE">
        <w:t xml:space="preserve">design includes features of experiential and collaborative learning as shown in </w:t>
      </w:r>
      <w:r w:rsidR="007F4DE4">
        <w:t>Diagram 2</w:t>
      </w:r>
      <w:r w:rsidR="00310B5F">
        <w:t>.</w:t>
      </w:r>
    </w:p>
    <w:p w:rsidR="006D6726" w:rsidRDefault="006D6726" w:rsidP="0017755C">
      <w:pPr>
        <w:rPr>
          <w:noProof/>
          <w:sz w:val="18"/>
          <w:lang w:val="en-US" w:eastAsia="en-US"/>
        </w:rPr>
      </w:pPr>
    </w:p>
    <w:p w:rsidR="006D6726" w:rsidRDefault="006D6726" w:rsidP="0017755C">
      <w:pPr>
        <w:rPr>
          <w:noProof/>
          <w:sz w:val="18"/>
          <w:lang w:val="en-US" w:eastAsia="en-US"/>
        </w:rPr>
      </w:pPr>
    </w:p>
    <w:p w:rsidR="006D6726" w:rsidRDefault="006D6726" w:rsidP="0017755C">
      <w:pPr>
        <w:rPr>
          <w:noProof/>
          <w:sz w:val="18"/>
          <w:lang w:val="en-US" w:eastAsia="en-US"/>
        </w:rPr>
      </w:pPr>
    </w:p>
    <w:p w:rsidR="006D6726" w:rsidRDefault="006D6726" w:rsidP="0017755C">
      <w:pPr>
        <w:rPr>
          <w:noProof/>
          <w:sz w:val="18"/>
          <w:lang w:val="en-US" w:eastAsia="en-US"/>
        </w:rPr>
      </w:pPr>
    </w:p>
    <w:p w:rsidR="006D6726" w:rsidRDefault="006D6726" w:rsidP="0017755C">
      <w:pPr>
        <w:rPr>
          <w:noProof/>
          <w:sz w:val="18"/>
          <w:lang w:val="en-US" w:eastAsia="en-US"/>
        </w:rPr>
      </w:pPr>
    </w:p>
    <w:p w:rsidR="006D6726" w:rsidRDefault="006D6726" w:rsidP="0017755C">
      <w:pPr>
        <w:rPr>
          <w:noProof/>
          <w:sz w:val="18"/>
          <w:lang w:val="en-US" w:eastAsia="en-US"/>
        </w:rPr>
      </w:pPr>
    </w:p>
    <w:p w:rsidR="006D6726" w:rsidRDefault="006D6726" w:rsidP="0017755C">
      <w:pPr>
        <w:rPr>
          <w:noProof/>
          <w:sz w:val="18"/>
          <w:lang w:val="en-US" w:eastAsia="en-US"/>
        </w:rPr>
      </w:pPr>
    </w:p>
    <w:p w:rsidR="006D6726" w:rsidRDefault="006D6726" w:rsidP="0017755C">
      <w:pPr>
        <w:rPr>
          <w:noProof/>
          <w:sz w:val="18"/>
          <w:lang w:val="en-US" w:eastAsia="en-US"/>
        </w:rPr>
      </w:pPr>
    </w:p>
    <w:p w:rsidR="006D6726" w:rsidRDefault="006D6726" w:rsidP="0017755C">
      <w:pPr>
        <w:rPr>
          <w:noProof/>
          <w:sz w:val="18"/>
          <w:lang w:val="en-US" w:eastAsia="en-US"/>
        </w:rPr>
      </w:pPr>
    </w:p>
    <w:p w:rsidR="006D6726" w:rsidRDefault="006D6726" w:rsidP="0017755C">
      <w:pPr>
        <w:rPr>
          <w:noProof/>
          <w:sz w:val="18"/>
          <w:lang w:val="en-US" w:eastAsia="en-US"/>
        </w:rPr>
      </w:pPr>
    </w:p>
    <w:p w:rsidR="006D6726" w:rsidRDefault="006D6726" w:rsidP="0017755C">
      <w:pPr>
        <w:rPr>
          <w:noProof/>
          <w:sz w:val="18"/>
          <w:lang w:val="en-US" w:eastAsia="en-US"/>
        </w:rPr>
      </w:pPr>
    </w:p>
    <w:p w:rsidR="006D6726" w:rsidRDefault="006D6726" w:rsidP="0017755C">
      <w:pPr>
        <w:rPr>
          <w:noProof/>
          <w:sz w:val="18"/>
          <w:lang w:val="en-US" w:eastAsia="en-US"/>
        </w:rPr>
      </w:pPr>
    </w:p>
    <w:p w:rsidR="006D6726" w:rsidRDefault="006D6726" w:rsidP="0017755C">
      <w:pPr>
        <w:rPr>
          <w:noProof/>
          <w:sz w:val="18"/>
          <w:lang w:val="en-US" w:eastAsia="en-US"/>
        </w:rPr>
      </w:pPr>
    </w:p>
    <w:p w:rsidR="006D6726" w:rsidRDefault="006D6726" w:rsidP="0017755C">
      <w:pPr>
        <w:rPr>
          <w:noProof/>
          <w:sz w:val="18"/>
          <w:lang w:val="en-US" w:eastAsia="en-US"/>
        </w:rPr>
      </w:pPr>
    </w:p>
    <w:p w:rsidR="00BC67C4" w:rsidRPr="00BC67C4" w:rsidRDefault="00083B4F" w:rsidP="0017755C">
      <w:r w:rsidRPr="007F4DE4">
        <w:rPr>
          <w:noProof/>
          <w:sz w:val="18"/>
          <w:lang w:val="en-US" w:eastAsia="en-US"/>
        </w:rPr>
        <w:t xml:space="preserve">Diagram 2: </w:t>
      </w:r>
      <w:r>
        <w:rPr>
          <w:noProof/>
          <w:sz w:val="18"/>
          <w:lang w:val="en-US" w:eastAsia="en-US"/>
        </w:rPr>
        <w:t>HCE</w:t>
      </w:r>
      <w:r w:rsidR="005E4218">
        <w:rPr>
          <w:noProof/>
          <w:sz w:val="18"/>
          <w:lang w:val="en-US" w:eastAsia="en-US"/>
        </w:rPr>
        <w:t xml:space="preserve"> Programme design at a g</w:t>
      </w:r>
      <w:r w:rsidRPr="007F4DE4">
        <w:rPr>
          <w:noProof/>
          <w:sz w:val="18"/>
          <w:lang w:val="en-US" w:eastAsia="en-US"/>
        </w:rPr>
        <w:t xml:space="preserve">lance </w:t>
      </w:r>
    </w:p>
    <w:p w:rsidR="000A34AA" w:rsidRPr="009C6E60" w:rsidRDefault="000A34AA" w:rsidP="00BE1307">
      <w:pPr>
        <w:pStyle w:val="Heading2"/>
      </w:pPr>
      <w:r w:rsidRPr="00783D25">
        <w:t>Activity driven learning</w:t>
      </w:r>
    </w:p>
    <w:p w:rsidR="00BA4D00" w:rsidRDefault="00DA2602" w:rsidP="00BA4D00">
      <w:pPr>
        <w:spacing w:after="120"/>
        <w:rPr>
          <w:rFonts w:ascii="Calibri" w:hAnsi="Calibri" w:cs="Calibri"/>
        </w:rPr>
      </w:pPr>
      <w:r>
        <w:rPr>
          <w:rFonts w:ascii="Calibri" w:hAnsi="Calibri" w:cs="Calibri"/>
        </w:rPr>
        <w:t xml:space="preserve">Activities are central to the learning process and </w:t>
      </w:r>
      <w:r w:rsidR="00E86EEF">
        <w:rPr>
          <w:rFonts w:ascii="Calibri" w:hAnsi="Calibri" w:cs="Calibri"/>
        </w:rPr>
        <w:t xml:space="preserve">students </w:t>
      </w:r>
      <w:r>
        <w:rPr>
          <w:rFonts w:ascii="Calibri" w:hAnsi="Calibri" w:cs="Calibri"/>
        </w:rPr>
        <w:t xml:space="preserve">are involved in </w:t>
      </w:r>
      <w:r w:rsidR="00FB391E">
        <w:rPr>
          <w:rFonts w:ascii="Calibri" w:hAnsi="Calibri" w:cs="Calibri"/>
        </w:rPr>
        <w:t>diverse</w:t>
      </w:r>
      <w:r>
        <w:rPr>
          <w:rFonts w:ascii="Calibri" w:hAnsi="Calibri" w:cs="Calibri"/>
        </w:rPr>
        <w:t xml:space="preserve"> </w:t>
      </w:r>
      <w:r w:rsidR="00BA4D00">
        <w:rPr>
          <w:rFonts w:ascii="Calibri" w:hAnsi="Calibri" w:cs="Calibri"/>
        </w:rPr>
        <w:t xml:space="preserve">activities linked to </w:t>
      </w:r>
      <w:r w:rsidR="00E86EEF">
        <w:rPr>
          <w:rFonts w:ascii="Calibri" w:hAnsi="Calibri" w:cs="Calibri"/>
        </w:rPr>
        <w:t xml:space="preserve">learning and teaching practices. Key activities include: </w:t>
      </w:r>
    </w:p>
    <w:p w:rsidR="00BA4D00" w:rsidRDefault="00BA4D00" w:rsidP="00BA4D00">
      <w:pPr>
        <w:pStyle w:val="ListParagraph"/>
        <w:numPr>
          <w:ilvl w:val="0"/>
          <w:numId w:val="6"/>
        </w:numPr>
        <w:rPr>
          <w:rFonts w:ascii="Calibri" w:hAnsi="Calibri" w:cs="Calibri"/>
        </w:rPr>
      </w:pPr>
      <w:r>
        <w:rPr>
          <w:rFonts w:ascii="Calibri" w:hAnsi="Calibri" w:cs="Calibri"/>
        </w:rPr>
        <w:t>Navigational activities on the LMS</w:t>
      </w:r>
      <w:r w:rsidR="00E86EEF">
        <w:rPr>
          <w:rFonts w:ascii="Calibri" w:hAnsi="Calibri" w:cs="Calibri"/>
        </w:rPr>
        <w:t>.</w:t>
      </w:r>
    </w:p>
    <w:p w:rsidR="000F0CB5" w:rsidRDefault="00BA4D00" w:rsidP="00BA4D00">
      <w:pPr>
        <w:pStyle w:val="ListParagraph"/>
        <w:numPr>
          <w:ilvl w:val="0"/>
          <w:numId w:val="6"/>
        </w:numPr>
        <w:rPr>
          <w:rFonts w:ascii="Calibri" w:hAnsi="Calibri" w:cs="Calibri"/>
        </w:rPr>
      </w:pPr>
      <w:r>
        <w:rPr>
          <w:rFonts w:ascii="Calibri" w:hAnsi="Calibri" w:cs="Calibri"/>
        </w:rPr>
        <w:t xml:space="preserve">Investigative activities to </w:t>
      </w:r>
      <w:r w:rsidR="007D625A">
        <w:rPr>
          <w:rFonts w:ascii="Calibri" w:hAnsi="Calibri" w:cs="Calibri"/>
        </w:rPr>
        <w:t xml:space="preserve">engage with selected readings on learning and teaching strategies, </w:t>
      </w:r>
      <w:r>
        <w:rPr>
          <w:rFonts w:ascii="Calibri" w:hAnsi="Calibri" w:cs="Calibri"/>
        </w:rPr>
        <w:t xml:space="preserve">blended learning, the needs of learners and how best to </w:t>
      </w:r>
      <w:r w:rsidR="00E86EEF">
        <w:rPr>
          <w:rFonts w:ascii="Calibri" w:hAnsi="Calibri" w:cs="Calibri"/>
        </w:rPr>
        <w:t xml:space="preserve">facilitate </w:t>
      </w:r>
      <w:r>
        <w:rPr>
          <w:rFonts w:ascii="Calibri" w:hAnsi="Calibri" w:cs="Calibri"/>
        </w:rPr>
        <w:t>learning</w:t>
      </w:r>
      <w:r w:rsidR="00363D08">
        <w:rPr>
          <w:rFonts w:ascii="Calibri" w:hAnsi="Calibri" w:cs="Calibri"/>
        </w:rPr>
        <w:t xml:space="preserve"> for Deaf </w:t>
      </w:r>
      <w:r w:rsidR="009C16A5">
        <w:rPr>
          <w:rFonts w:ascii="Calibri" w:hAnsi="Calibri" w:cs="Calibri"/>
        </w:rPr>
        <w:t>learners</w:t>
      </w:r>
      <w:r>
        <w:rPr>
          <w:rFonts w:ascii="Calibri" w:hAnsi="Calibri" w:cs="Calibri"/>
        </w:rPr>
        <w:t xml:space="preserve">, </w:t>
      </w:r>
      <w:r w:rsidR="00E86EEF">
        <w:rPr>
          <w:rFonts w:ascii="Calibri" w:hAnsi="Calibri" w:cs="Calibri"/>
        </w:rPr>
        <w:t>use of technology in creating in</w:t>
      </w:r>
      <w:r w:rsidR="00AE7AF4">
        <w:rPr>
          <w:rFonts w:ascii="Calibri" w:hAnsi="Calibri" w:cs="Calibri"/>
        </w:rPr>
        <w:t>teractive learning environments,</w:t>
      </w:r>
      <w:r w:rsidR="00E86EEF">
        <w:rPr>
          <w:rFonts w:ascii="Calibri" w:hAnsi="Calibri" w:cs="Calibri"/>
        </w:rPr>
        <w:t xml:space="preserve"> facilitation methods</w:t>
      </w:r>
      <w:r>
        <w:rPr>
          <w:rFonts w:ascii="Calibri" w:hAnsi="Calibri" w:cs="Calibri"/>
        </w:rPr>
        <w:t xml:space="preserve">, </w:t>
      </w:r>
      <w:r w:rsidR="00E86EEF">
        <w:rPr>
          <w:rFonts w:ascii="Calibri" w:hAnsi="Calibri" w:cs="Calibri"/>
        </w:rPr>
        <w:t xml:space="preserve">role of the teacher as facilitator of learning. </w:t>
      </w:r>
    </w:p>
    <w:p w:rsidR="000F0CB5" w:rsidRDefault="000F0CB5" w:rsidP="00BA4D00">
      <w:pPr>
        <w:pStyle w:val="ListParagraph"/>
        <w:numPr>
          <w:ilvl w:val="0"/>
          <w:numId w:val="6"/>
        </w:numPr>
        <w:rPr>
          <w:rFonts w:ascii="Calibri" w:hAnsi="Calibri" w:cs="Calibri"/>
        </w:rPr>
      </w:pPr>
      <w:r>
        <w:rPr>
          <w:rFonts w:ascii="Calibri" w:hAnsi="Calibri" w:cs="Calibri"/>
        </w:rPr>
        <w:t>Observation of how teachers in the classroom facilitate learning.</w:t>
      </w:r>
    </w:p>
    <w:p w:rsidR="000F0CB5" w:rsidRDefault="000F0CB5" w:rsidP="00BA4D00">
      <w:pPr>
        <w:pStyle w:val="ListParagraph"/>
        <w:numPr>
          <w:ilvl w:val="0"/>
          <w:numId w:val="6"/>
        </w:numPr>
        <w:rPr>
          <w:rFonts w:ascii="Calibri" w:hAnsi="Calibri" w:cs="Calibri"/>
        </w:rPr>
      </w:pPr>
      <w:r>
        <w:rPr>
          <w:rFonts w:ascii="Calibri" w:hAnsi="Calibri" w:cs="Calibri"/>
        </w:rPr>
        <w:t xml:space="preserve">Evaluation of </w:t>
      </w:r>
      <w:r w:rsidR="00DA43E5">
        <w:rPr>
          <w:rFonts w:ascii="Calibri" w:hAnsi="Calibri" w:cs="Calibri"/>
        </w:rPr>
        <w:t>videotaped</w:t>
      </w:r>
      <w:r>
        <w:rPr>
          <w:rFonts w:ascii="Calibri" w:hAnsi="Calibri" w:cs="Calibri"/>
        </w:rPr>
        <w:t xml:space="preserve"> learning sessions. </w:t>
      </w:r>
    </w:p>
    <w:p w:rsidR="00BA4D00" w:rsidRDefault="000F0CB5" w:rsidP="00BA4D00">
      <w:pPr>
        <w:pStyle w:val="ListParagraph"/>
        <w:numPr>
          <w:ilvl w:val="0"/>
          <w:numId w:val="6"/>
        </w:numPr>
        <w:rPr>
          <w:rFonts w:ascii="Calibri" w:hAnsi="Calibri" w:cs="Calibri"/>
        </w:rPr>
      </w:pPr>
      <w:r>
        <w:rPr>
          <w:rFonts w:ascii="Calibri" w:hAnsi="Calibri" w:cs="Calibri"/>
        </w:rPr>
        <w:t xml:space="preserve">Learning journal activities linked to practice teaching sessions. </w:t>
      </w:r>
    </w:p>
    <w:p w:rsidR="00B7343A" w:rsidRDefault="00BA4D00" w:rsidP="00BA4D00">
      <w:pPr>
        <w:pStyle w:val="ListParagraph"/>
        <w:numPr>
          <w:ilvl w:val="0"/>
          <w:numId w:val="6"/>
        </w:numPr>
        <w:rPr>
          <w:rFonts w:ascii="Calibri" w:hAnsi="Calibri" w:cs="Calibri"/>
        </w:rPr>
      </w:pPr>
      <w:r>
        <w:rPr>
          <w:rFonts w:ascii="Calibri" w:hAnsi="Calibri" w:cs="Calibri"/>
        </w:rPr>
        <w:t xml:space="preserve">Skills practice activities, e.g. planning learning sessions, </w:t>
      </w:r>
      <w:r w:rsidR="00E86EEF">
        <w:rPr>
          <w:rFonts w:ascii="Calibri" w:hAnsi="Calibri" w:cs="Calibri"/>
        </w:rPr>
        <w:t xml:space="preserve">facilitating </w:t>
      </w:r>
      <w:r>
        <w:rPr>
          <w:rFonts w:ascii="Calibri" w:hAnsi="Calibri" w:cs="Calibri"/>
        </w:rPr>
        <w:t>learning sessions, grading assessment tasks, commenting on assessment tasks, compiling a year plan</w:t>
      </w:r>
      <w:r w:rsidR="00E86EEF">
        <w:rPr>
          <w:rFonts w:ascii="Calibri" w:hAnsi="Calibri" w:cs="Calibri"/>
        </w:rPr>
        <w:t>.</w:t>
      </w:r>
    </w:p>
    <w:p w:rsidR="00BA4D00" w:rsidRDefault="00B7343A" w:rsidP="00BA4D00">
      <w:pPr>
        <w:pStyle w:val="ListParagraph"/>
        <w:numPr>
          <w:ilvl w:val="0"/>
          <w:numId w:val="6"/>
        </w:numPr>
        <w:rPr>
          <w:rFonts w:ascii="Calibri" w:hAnsi="Calibri" w:cs="Calibri"/>
        </w:rPr>
      </w:pPr>
      <w:r>
        <w:rPr>
          <w:rFonts w:ascii="Calibri" w:hAnsi="Calibri" w:cs="Calibri"/>
        </w:rPr>
        <w:t>Reflective and evaluative activities to identify insights gained, level of sk</w:t>
      </w:r>
      <w:r w:rsidR="00E86EEF">
        <w:rPr>
          <w:rFonts w:ascii="Calibri" w:hAnsi="Calibri" w:cs="Calibri"/>
        </w:rPr>
        <w:t>ills acquired and progress made.</w:t>
      </w:r>
    </w:p>
    <w:p w:rsidR="00E951CE" w:rsidRDefault="00BA4D00" w:rsidP="00BA4D00">
      <w:pPr>
        <w:pStyle w:val="ListParagraph"/>
        <w:numPr>
          <w:ilvl w:val="0"/>
          <w:numId w:val="6"/>
        </w:numPr>
        <w:rPr>
          <w:rFonts w:ascii="Calibri" w:hAnsi="Calibri" w:cs="Calibri"/>
        </w:rPr>
      </w:pPr>
      <w:r>
        <w:rPr>
          <w:rFonts w:ascii="Calibri" w:hAnsi="Calibri" w:cs="Calibri"/>
        </w:rPr>
        <w:t>Communication activities, e.g. team work, presentations, shar</w:t>
      </w:r>
      <w:r w:rsidR="00363D08">
        <w:rPr>
          <w:rFonts w:ascii="Calibri" w:hAnsi="Calibri" w:cs="Calibri"/>
        </w:rPr>
        <w:t>e</w:t>
      </w:r>
      <w:r>
        <w:rPr>
          <w:rFonts w:ascii="Calibri" w:hAnsi="Calibri" w:cs="Calibri"/>
        </w:rPr>
        <w:t xml:space="preserve"> ideas on the </w:t>
      </w:r>
      <w:r w:rsidR="00E86EEF">
        <w:rPr>
          <w:rFonts w:ascii="Calibri" w:hAnsi="Calibri" w:cs="Calibri"/>
        </w:rPr>
        <w:t xml:space="preserve">LMS </w:t>
      </w:r>
      <w:r>
        <w:rPr>
          <w:rFonts w:ascii="Calibri" w:hAnsi="Calibri" w:cs="Calibri"/>
        </w:rPr>
        <w:t>Forum</w:t>
      </w:r>
      <w:r w:rsidR="00E86EEF">
        <w:rPr>
          <w:rFonts w:ascii="Calibri" w:hAnsi="Calibri" w:cs="Calibri"/>
        </w:rPr>
        <w:t>.</w:t>
      </w:r>
    </w:p>
    <w:p w:rsidR="00BA4D00" w:rsidRDefault="00E951CE" w:rsidP="00BA4D00">
      <w:pPr>
        <w:pStyle w:val="ListParagraph"/>
        <w:numPr>
          <w:ilvl w:val="0"/>
          <w:numId w:val="6"/>
        </w:numPr>
        <w:rPr>
          <w:rFonts w:ascii="Calibri" w:hAnsi="Calibri" w:cs="Calibri"/>
        </w:rPr>
      </w:pPr>
      <w:r>
        <w:rPr>
          <w:rFonts w:ascii="Calibri" w:hAnsi="Calibri" w:cs="Calibri"/>
        </w:rPr>
        <w:t>Compilation of a</w:t>
      </w:r>
      <w:r w:rsidR="00AE7AF4">
        <w:rPr>
          <w:rFonts w:ascii="Calibri" w:hAnsi="Calibri" w:cs="Calibri"/>
        </w:rPr>
        <w:t>n e-</w:t>
      </w:r>
      <w:r w:rsidR="00FB391E">
        <w:rPr>
          <w:rFonts w:ascii="Calibri" w:hAnsi="Calibri" w:cs="Calibri"/>
        </w:rPr>
        <w:t>P</w:t>
      </w:r>
      <w:r>
        <w:rPr>
          <w:rFonts w:ascii="Calibri" w:hAnsi="Calibri" w:cs="Calibri"/>
        </w:rPr>
        <w:t xml:space="preserve">ortfolio to demonstrate </w:t>
      </w:r>
      <w:r w:rsidR="00FB391E">
        <w:rPr>
          <w:rFonts w:ascii="Calibri" w:hAnsi="Calibri" w:cs="Calibri"/>
        </w:rPr>
        <w:t xml:space="preserve">planning skills, </w:t>
      </w:r>
      <w:r>
        <w:rPr>
          <w:rFonts w:ascii="Calibri" w:hAnsi="Calibri" w:cs="Calibri"/>
        </w:rPr>
        <w:t>facilitation competence</w:t>
      </w:r>
      <w:r w:rsidR="00FB391E">
        <w:rPr>
          <w:rFonts w:ascii="Calibri" w:hAnsi="Calibri" w:cs="Calibri"/>
        </w:rPr>
        <w:t>, ability to grade assessment tasks and provide students with constructive feedback</w:t>
      </w:r>
      <w:r w:rsidR="000F0CB5">
        <w:rPr>
          <w:rFonts w:ascii="Calibri" w:hAnsi="Calibri" w:cs="Calibri"/>
        </w:rPr>
        <w:t>, and interventions that show evidence of ability to identify learners’ problems and provide appropriate and supportive responses.</w:t>
      </w:r>
      <w:r w:rsidR="00FB391E">
        <w:rPr>
          <w:rFonts w:ascii="Calibri" w:hAnsi="Calibri" w:cs="Calibri"/>
        </w:rPr>
        <w:t xml:space="preserve"> </w:t>
      </w:r>
    </w:p>
    <w:p w:rsidR="00FC7EAA" w:rsidRDefault="00310B5F" w:rsidP="00BE1307">
      <w:pPr>
        <w:pStyle w:val="Heading2"/>
      </w:pPr>
      <w:r w:rsidRPr="000A34AA">
        <w:t>Guidance and Support</w:t>
      </w:r>
    </w:p>
    <w:p w:rsidR="006F52E8" w:rsidRDefault="000C302F" w:rsidP="006F52E8">
      <w:pPr>
        <w:spacing w:after="0"/>
      </w:pPr>
      <w:r>
        <w:t xml:space="preserve">The Learning Pathway on </w:t>
      </w:r>
      <w:r w:rsidR="00825E57">
        <w:t xml:space="preserve">the LMS </w:t>
      </w:r>
      <w:r>
        <w:t xml:space="preserve">is </w:t>
      </w:r>
      <w:r w:rsidR="0065568E">
        <w:t xml:space="preserve">a </w:t>
      </w:r>
      <w:r>
        <w:t>guidance and support mechanism</w:t>
      </w:r>
      <w:r w:rsidR="007D625A">
        <w:t xml:space="preserve"> that enables students </w:t>
      </w:r>
      <w:r w:rsidR="0065568E">
        <w:t xml:space="preserve">to navigate </w:t>
      </w:r>
      <w:r w:rsidR="007D625A">
        <w:t xml:space="preserve">the </w:t>
      </w:r>
      <w:r w:rsidR="00442830">
        <w:t>HCE</w:t>
      </w:r>
      <w:r w:rsidR="006F52E8">
        <w:t xml:space="preserve"> learning environment comprising online, offline and contact learning activities linked to diverse learning resources. The Learning Pathway </w:t>
      </w:r>
      <w:r w:rsidR="00825E57">
        <w:t>includes</w:t>
      </w:r>
      <w:r w:rsidR="006F52E8">
        <w:t>:</w:t>
      </w:r>
    </w:p>
    <w:p w:rsidR="006F52E8" w:rsidRDefault="000F0CB5" w:rsidP="006F52E8">
      <w:pPr>
        <w:pStyle w:val="ListParagraph"/>
        <w:numPr>
          <w:ilvl w:val="0"/>
          <w:numId w:val="15"/>
        </w:numPr>
      </w:pPr>
      <w:r>
        <w:t xml:space="preserve">an overview of the modules; </w:t>
      </w:r>
    </w:p>
    <w:p w:rsidR="006F52E8" w:rsidRDefault="000F0CB5" w:rsidP="006F52E8">
      <w:pPr>
        <w:pStyle w:val="ListParagraph"/>
        <w:numPr>
          <w:ilvl w:val="0"/>
          <w:numId w:val="15"/>
        </w:numPr>
      </w:pPr>
      <w:r>
        <w:t xml:space="preserve">detailed </w:t>
      </w:r>
      <w:r w:rsidR="00AA66A9">
        <w:t>de</w:t>
      </w:r>
      <w:r>
        <w:t>scriptions of what students will learn in each module</w:t>
      </w:r>
      <w:r w:rsidR="00D56E24">
        <w:t xml:space="preserve">, supporting guidelines and lists of selected </w:t>
      </w:r>
      <w:r>
        <w:t xml:space="preserve">resources and weblinks; </w:t>
      </w:r>
    </w:p>
    <w:p w:rsidR="006F52E8" w:rsidRDefault="000F0CB5" w:rsidP="006F52E8">
      <w:pPr>
        <w:pStyle w:val="ListParagraph"/>
        <w:numPr>
          <w:ilvl w:val="0"/>
          <w:numId w:val="15"/>
        </w:numPr>
      </w:pPr>
      <w:r>
        <w:t xml:space="preserve">an assessment guide with descriptions of the assessment activities; </w:t>
      </w:r>
    </w:p>
    <w:p w:rsidR="0065568E" w:rsidRDefault="000F0CB5" w:rsidP="006F52E8">
      <w:pPr>
        <w:pStyle w:val="ListParagraph"/>
        <w:numPr>
          <w:ilvl w:val="0"/>
          <w:numId w:val="15"/>
        </w:numPr>
      </w:pPr>
      <w:r>
        <w:t xml:space="preserve">details </w:t>
      </w:r>
      <w:r w:rsidR="00A56A2D">
        <w:t xml:space="preserve">and descriptions of the types of support available to students, e.g. </w:t>
      </w:r>
      <w:r w:rsidR="007D625A">
        <w:t xml:space="preserve">start-up </w:t>
      </w:r>
      <w:r>
        <w:t xml:space="preserve">orientation </w:t>
      </w:r>
      <w:r w:rsidR="007D625A">
        <w:t xml:space="preserve">workshop, </w:t>
      </w:r>
      <w:r w:rsidR="00155130">
        <w:t xml:space="preserve">online and offline support, regular </w:t>
      </w:r>
      <w:r w:rsidR="007D625A">
        <w:t>contact sessions</w:t>
      </w:r>
      <w:r w:rsidR="006F52E8">
        <w:t>,</w:t>
      </w:r>
      <w:r w:rsidR="007D625A">
        <w:t xml:space="preserve"> </w:t>
      </w:r>
      <w:r w:rsidR="00155130">
        <w:t xml:space="preserve">support during practice teaching. </w:t>
      </w:r>
    </w:p>
    <w:p w:rsidR="00FC7EAA" w:rsidRDefault="00310B5F" w:rsidP="00BE1307">
      <w:pPr>
        <w:pStyle w:val="Heading2"/>
      </w:pPr>
      <w:r w:rsidRPr="000A34AA">
        <w:t>Content and Experience</w:t>
      </w:r>
    </w:p>
    <w:p w:rsidR="007D625A" w:rsidRDefault="00D56E24" w:rsidP="00FC7EAA">
      <w:r>
        <w:t>C</w:t>
      </w:r>
      <w:r w:rsidR="003B0AAC">
        <w:t xml:space="preserve">ontent </w:t>
      </w:r>
      <w:r w:rsidR="00155130">
        <w:t xml:space="preserve">and experience is presented as a menu of </w:t>
      </w:r>
      <w:r>
        <w:t xml:space="preserve">diverse </w:t>
      </w:r>
      <w:r w:rsidR="00155130">
        <w:t>sources of informa</w:t>
      </w:r>
      <w:r>
        <w:t xml:space="preserve">tion with which students engage. It includes </w:t>
      </w:r>
      <w:r w:rsidR="00155130">
        <w:t>carefully selected primary resources such as core readings, articles, inputs by experts in Deaf education and training, video clips showing how to facilitate learning and how to use technology with learners. Supplementary resources are indicated as weblinks</w:t>
      </w:r>
      <w:r>
        <w:t xml:space="preserve"> and students are also encouraged to compile a list of sources of information</w:t>
      </w:r>
      <w:r w:rsidR="004C62C3">
        <w:t xml:space="preserve"> they find particularly helpful</w:t>
      </w:r>
      <w:r>
        <w:t xml:space="preserve">. </w:t>
      </w:r>
      <w:r w:rsidR="00155130">
        <w:t xml:space="preserve">The students’ own experience and the experience of teachers, facilitators, and mentors with whom students engage are rich sources of information which students reflect on and learn from. </w:t>
      </w:r>
    </w:p>
    <w:p w:rsidR="00FC7EAA" w:rsidRPr="00BE1307" w:rsidRDefault="00310B5F" w:rsidP="00BE1307">
      <w:pPr>
        <w:pStyle w:val="Heading2"/>
      </w:pPr>
      <w:r w:rsidRPr="00BE1307">
        <w:lastRenderedPageBreak/>
        <w:t>Reflection and Demonstration</w:t>
      </w:r>
    </w:p>
    <w:p w:rsidR="00310B5F" w:rsidRPr="00FC7EAA" w:rsidRDefault="007D625A" w:rsidP="00C32B30">
      <w:pPr>
        <w:tabs>
          <w:tab w:val="left" w:pos="426"/>
        </w:tabs>
      </w:pPr>
      <w:r>
        <w:t xml:space="preserve">Students </w:t>
      </w:r>
      <w:r w:rsidR="00E3247A">
        <w:t>are</w:t>
      </w:r>
      <w:r w:rsidR="0065568E">
        <w:t xml:space="preserve"> involved in reflective activities during the year</w:t>
      </w:r>
      <w:r w:rsidR="000863E3">
        <w:t>,</w:t>
      </w:r>
      <w:r w:rsidR="0065568E">
        <w:t xml:space="preserve"> and they will use a learning journal to record their reflections. </w:t>
      </w:r>
      <w:r>
        <w:t xml:space="preserve">They </w:t>
      </w:r>
      <w:r w:rsidR="0065568E">
        <w:t xml:space="preserve">are expected to demonstrate knowledge about </w:t>
      </w:r>
      <w:r>
        <w:t xml:space="preserve">learning and teaching methods </w:t>
      </w:r>
      <w:r w:rsidR="0065568E">
        <w:t xml:space="preserve">and their level of relevant skills, e.g. planning and mediating learning sessions, use of rubrics to assess and grade assessment tasks, preparing a year plan. </w:t>
      </w:r>
      <w:r w:rsidR="00825E57" w:rsidRPr="003B0AAC">
        <w:t xml:space="preserve">Demonstration may take the form of </w:t>
      </w:r>
      <w:r w:rsidR="0065568E">
        <w:t xml:space="preserve">presentations, </w:t>
      </w:r>
      <w:r w:rsidR="00E3247A">
        <w:t xml:space="preserve">skills practice </w:t>
      </w:r>
      <w:r w:rsidR="0065568E">
        <w:t>activities</w:t>
      </w:r>
      <w:r w:rsidR="00E3247A">
        <w:t xml:space="preserve"> which are </w:t>
      </w:r>
      <w:r w:rsidR="00DA43E5">
        <w:t>videotaped</w:t>
      </w:r>
      <w:r w:rsidR="00E3247A">
        <w:t xml:space="preserve">, </w:t>
      </w:r>
      <w:r w:rsidR="00B30BD6">
        <w:t xml:space="preserve">and </w:t>
      </w:r>
      <w:r w:rsidR="0065568E">
        <w:t xml:space="preserve">compilation of </w:t>
      </w:r>
      <w:r w:rsidR="00FB391E">
        <w:t xml:space="preserve">a </w:t>
      </w:r>
      <w:r w:rsidR="000C589D">
        <w:t>portfolio</w:t>
      </w:r>
      <w:r w:rsidR="00E3247A">
        <w:t>.</w:t>
      </w:r>
      <w:r w:rsidR="0065568E">
        <w:t xml:space="preserve"> </w:t>
      </w:r>
    </w:p>
    <w:p w:rsidR="00FC7EAA" w:rsidRDefault="00310B5F" w:rsidP="000A34AA">
      <w:pPr>
        <w:pStyle w:val="Heading3"/>
        <w:rPr>
          <w:rFonts w:ascii="Calibri" w:hAnsi="Calibri" w:cs="Calibri"/>
        </w:rPr>
      </w:pPr>
      <w:r>
        <w:rPr>
          <w:rFonts w:ascii="Calibri" w:hAnsi="Calibri" w:cs="Calibri"/>
        </w:rPr>
        <w:t>Communication and Collaboration</w:t>
      </w:r>
    </w:p>
    <w:p w:rsidR="00FB4558" w:rsidRDefault="00FB4558" w:rsidP="00FB4558">
      <w:pPr>
        <w:spacing w:after="0"/>
      </w:pPr>
      <w:r>
        <w:t>S</w:t>
      </w:r>
      <w:r w:rsidR="007D625A">
        <w:t xml:space="preserve">tudents </w:t>
      </w:r>
      <w:r>
        <w:t>can communicate with their facilitator and peers in multiple ways:</w:t>
      </w:r>
    </w:p>
    <w:p w:rsidR="00FB4558" w:rsidRDefault="00FB4558" w:rsidP="00FC7EAA">
      <w:pPr>
        <w:pStyle w:val="ListParagraph"/>
        <w:numPr>
          <w:ilvl w:val="0"/>
          <w:numId w:val="35"/>
        </w:numPr>
        <w:spacing w:after="120"/>
      </w:pPr>
      <w:r>
        <w:t xml:space="preserve">Regular, structured </w:t>
      </w:r>
      <w:r w:rsidR="007F4DE4">
        <w:t xml:space="preserve">face-to-face </w:t>
      </w:r>
      <w:r>
        <w:t xml:space="preserve">sessions enable students to experience the benefits of engaging with their facilitator </w:t>
      </w:r>
      <w:r w:rsidR="002E0275">
        <w:t xml:space="preserve">and </w:t>
      </w:r>
      <w:r>
        <w:t xml:space="preserve">peers </w:t>
      </w:r>
      <w:r w:rsidR="002E0275">
        <w:t>and deep</w:t>
      </w:r>
      <w:r w:rsidR="006A487A">
        <w:t>en</w:t>
      </w:r>
      <w:r w:rsidR="002E0275">
        <w:t xml:space="preserve"> their understanding of what they are learning. They can work </w:t>
      </w:r>
      <w:r>
        <w:t xml:space="preserve">collaboratively on specified team activities. </w:t>
      </w:r>
    </w:p>
    <w:p w:rsidR="00FB4558" w:rsidRDefault="007F4DE4" w:rsidP="00FC7EAA">
      <w:pPr>
        <w:pStyle w:val="ListParagraph"/>
        <w:numPr>
          <w:ilvl w:val="0"/>
          <w:numId w:val="35"/>
        </w:numPr>
        <w:spacing w:after="120"/>
      </w:pPr>
      <w:r>
        <w:t xml:space="preserve">The discussion forum on the LMS offers students opportunities to share their ideas </w:t>
      </w:r>
      <w:r w:rsidR="00FB4558">
        <w:t xml:space="preserve">both online and </w:t>
      </w:r>
      <w:r>
        <w:t>offline</w:t>
      </w:r>
      <w:r w:rsidR="002E0275">
        <w:t xml:space="preserve"> around specified themes</w:t>
      </w:r>
      <w:r w:rsidR="00FB4558">
        <w:t>.</w:t>
      </w:r>
    </w:p>
    <w:p w:rsidR="00FB4558" w:rsidRDefault="00FB4558" w:rsidP="00FC7EAA">
      <w:pPr>
        <w:pStyle w:val="ListParagraph"/>
        <w:numPr>
          <w:ilvl w:val="0"/>
          <w:numId w:val="35"/>
        </w:numPr>
      </w:pPr>
      <w:r>
        <w:t xml:space="preserve">Email enables students to send the facilitator and each other messages at any time. </w:t>
      </w:r>
    </w:p>
    <w:p w:rsidR="00FB4558" w:rsidRDefault="00FB4558" w:rsidP="00FC7EAA">
      <w:pPr>
        <w:pStyle w:val="ListParagraph"/>
        <w:numPr>
          <w:ilvl w:val="0"/>
          <w:numId w:val="35"/>
        </w:numPr>
      </w:pPr>
      <w:r>
        <w:t xml:space="preserve">Skype is a powerful way of communicating online in real time. </w:t>
      </w:r>
    </w:p>
    <w:p w:rsidR="00125196" w:rsidRPr="003B0AAC" w:rsidRDefault="0029296B" w:rsidP="0029296B">
      <w:pPr>
        <w:pStyle w:val="ListParagraph"/>
        <w:numPr>
          <w:ilvl w:val="0"/>
          <w:numId w:val="35"/>
        </w:numPr>
      </w:pPr>
      <w:r>
        <w:t>Interactions with</w:t>
      </w:r>
      <w:r w:rsidR="00B86C0B">
        <w:t xml:space="preserve"> </w:t>
      </w:r>
      <w:r>
        <w:t xml:space="preserve">an </w:t>
      </w:r>
      <w:r w:rsidR="00B86C0B">
        <w:t xml:space="preserve">internal and possibly an external mentor </w:t>
      </w:r>
      <w:r>
        <w:t xml:space="preserve">encourages reflective behaviour and helps </w:t>
      </w:r>
      <w:r w:rsidR="006A487A">
        <w:t xml:space="preserve">students </w:t>
      </w:r>
      <w:r>
        <w:t xml:space="preserve">to broaden </w:t>
      </w:r>
      <w:r w:rsidR="006A487A">
        <w:t xml:space="preserve">their </w:t>
      </w:r>
      <w:r>
        <w:t xml:space="preserve">views about their role as teacher and facilitator of learning. </w:t>
      </w:r>
    </w:p>
    <w:p w:rsidR="00A46FC6" w:rsidRPr="004A35AA" w:rsidRDefault="004A35AA" w:rsidP="007D625A">
      <w:pPr>
        <w:pStyle w:val="Heading1"/>
        <w:spacing w:before="360" w:after="240"/>
      </w:pPr>
      <w:r>
        <w:t xml:space="preserve">Programme </w:t>
      </w:r>
      <w:r w:rsidR="001D7BCB">
        <w:t>Learning and Teaching S</w:t>
      </w:r>
      <w:r w:rsidR="007D625A">
        <w:t>trateg</w:t>
      </w:r>
      <w:r w:rsidR="003E3159">
        <w:t xml:space="preserve">ies </w:t>
      </w:r>
      <w:r w:rsidR="007D625A">
        <w:t xml:space="preserve"> </w:t>
      </w:r>
    </w:p>
    <w:p w:rsidR="00340795" w:rsidRDefault="003E3159" w:rsidP="003E3159">
      <w:pPr>
        <w:pStyle w:val="ListParagraph"/>
        <w:ind w:left="0"/>
      </w:pPr>
      <w:r w:rsidRPr="00E16F5D">
        <w:t xml:space="preserve">The delivery of the </w:t>
      </w:r>
      <w:r w:rsidR="00442830">
        <w:t>HCE</w:t>
      </w:r>
      <w:r>
        <w:t xml:space="preserve"> </w:t>
      </w:r>
      <w:r w:rsidRPr="00E16F5D">
        <w:t>follow</w:t>
      </w:r>
      <w:r>
        <w:t>s</w:t>
      </w:r>
      <w:r w:rsidRPr="00E16F5D">
        <w:t xml:space="preserve"> a resource based</w:t>
      </w:r>
      <w:r>
        <w:t>,</w:t>
      </w:r>
      <w:r w:rsidRPr="00E16F5D">
        <w:t xml:space="preserve"> blended learning approach</w:t>
      </w:r>
      <w:r>
        <w:t xml:space="preserve">. The intention is to create a learning environment that allows students </w:t>
      </w:r>
      <w:r w:rsidRPr="00E16F5D">
        <w:t xml:space="preserve">to experience the approach and methods they </w:t>
      </w:r>
      <w:r w:rsidR="00D56E24">
        <w:t xml:space="preserve">can </w:t>
      </w:r>
      <w:r w:rsidRPr="00E16F5D">
        <w:t>use with the</w:t>
      </w:r>
      <w:r>
        <w:t xml:space="preserve">ir </w:t>
      </w:r>
      <w:r w:rsidR="00D56E24">
        <w:t xml:space="preserve">learners. </w:t>
      </w:r>
      <w:r>
        <w:t>The main methods included in the Programme are: workshops, technology supported learning, resource based learning, independent learning, team work, community of practice</w:t>
      </w:r>
      <w:r w:rsidR="00B30BD6">
        <w:t xml:space="preserve"> activities</w:t>
      </w:r>
      <w:r>
        <w:t xml:space="preserve">, </w:t>
      </w:r>
      <w:r w:rsidR="00F1667A">
        <w:t xml:space="preserve">teaching practice activities, </w:t>
      </w:r>
      <w:r>
        <w:t>mentoring, a learning journal, and a</w:t>
      </w:r>
      <w:r w:rsidR="006A487A">
        <w:t>n e-P</w:t>
      </w:r>
      <w:r>
        <w:t xml:space="preserve">ortfolio. </w:t>
      </w:r>
      <w:r w:rsidR="00340795">
        <w:t>The programme incorporate</w:t>
      </w:r>
      <w:r w:rsidR="00B30BD6">
        <w:t>s</w:t>
      </w:r>
      <w:r w:rsidR="00340795">
        <w:t xml:space="preserve"> principles and approaches that enable Deaf students to develop the competencies they need to achieve success. </w:t>
      </w:r>
    </w:p>
    <w:p w:rsidR="00340795" w:rsidRDefault="00340795" w:rsidP="0034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ind w:left="561"/>
        <w:rPr>
          <w:rFonts w:cs="Arial"/>
          <w:color w:val="000000"/>
          <w:sz w:val="20"/>
          <w:szCs w:val="21"/>
          <w:lang w:val="en-US"/>
        </w:rPr>
      </w:pPr>
      <w:r w:rsidRPr="00340795">
        <w:rPr>
          <w:rFonts w:cs="Arial"/>
          <w:color w:val="000000"/>
          <w:sz w:val="20"/>
          <w:szCs w:val="21"/>
          <w:lang w:val="en-US"/>
        </w:rPr>
        <w:t xml:space="preserve">To meet the diverse </w:t>
      </w:r>
      <w:r>
        <w:rPr>
          <w:rFonts w:cs="Arial"/>
          <w:color w:val="000000"/>
          <w:sz w:val="20"/>
          <w:szCs w:val="21"/>
          <w:lang w:val="en-US"/>
        </w:rPr>
        <w:t>demands of their students, teachers should integrate, across all teaching situations and instruction, central themes in their planning that will help deaf students gain the language and experiential background that they need for accessing and learning the curriculum. Four such themes are:</w:t>
      </w:r>
    </w:p>
    <w:p w:rsidR="00340795" w:rsidRDefault="00340795" w:rsidP="0034079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cs="Arial"/>
          <w:color w:val="000000"/>
          <w:sz w:val="20"/>
          <w:szCs w:val="21"/>
          <w:lang w:val="en-US"/>
        </w:rPr>
      </w:pPr>
      <w:r>
        <w:rPr>
          <w:rFonts w:cs="Arial"/>
          <w:color w:val="000000"/>
          <w:sz w:val="20"/>
          <w:szCs w:val="21"/>
          <w:lang w:val="en-US"/>
        </w:rPr>
        <w:t>Creating authentic experiences</w:t>
      </w:r>
    </w:p>
    <w:p w:rsidR="00340795" w:rsidRDefault="00340795" w:rsidP="0034079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cs="Arial"/>
          <w:color w:val="000000"/>
          <w:sz w:val="20"/>
          <w:szCs w:val="21"/>
          <w:lang w:val="en-US"/>
        </w:rPr>
      </w:pPr>
      <w:r>
        <w:rPr>
          <w:rFonts w:cs="Arial"/>
          <w:color w:val="000000"/>
          <w:sz w:val="20"/>
          <w:szCs w:val="21"/>
          <w:lang w:val="en-US"/>
        </w:rPr>
        <w:t>Integrating vocabulary development</w:t>
      </w:r>
    </w:p>
    <w:p w:rsidR="00340795" w:rsidRDefault="00340795" w:rsidP="0034079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cs="Arial"/>
          <w:color w:val="000000"/>
          <w:sz w:val="20"/>
          <w:szCs w:val="21"/>
          <w:lang w:val="en-US"/>
        </w:rPr>
      </w:pPr>
      <w:r>
        <w:rPr>
          <w:rFonts w:cs="Arial"/>
          <w:color w:val="000000"/>
          <w:sz w:val="20"/>
          <w:szCs w:val="21"/>
          <w:lang w:val="en-US"/>
        </w:rPr>
        <w:t xml:space="preserve">Creating opportunities for self-expression </w:t>
      </w:r>
    </w:p>
    <w:p w:rsidR="00340795" w:rsidRPr="00340795" w:rsidRDefault="00340795" w:rsidP="0034079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cs="Arial"/>
          <w:color w:val="000000"/>
          <w:sz w:val="20"/>
          <w:szCs w:val="21"/>
          <w:lang w:val="en-US"/>
        </w:rPr>
      </w:pPr>
      <w:r>
        <w:rPr>
          <w:rFonts w:cs="Arial"/>
          <w:color w:val="000000"/>
          <w:sz w:val="20"/>
          <w:szCs w:val="21"/>
          <w:lang w:val="en-US"/>
        </w:rPr>
        <w:t>Providing deaf role models. (Stewart, Kluwin 2001)</w:t>
      </w:r>
    </w:p>
    <w:p w:rsidR="00340795" w:rsidRDefault="00340795" w:rsidP="00340795">
      <w:pPr>
        <w:pStyle w:val="ListParagraph"/>
        <w:ind w:left="0"/>
      </w:pPr>
    </w:p>
    <w:p w:rsidR="00340795" w:rsidRPr="00340795" w:rsidRDefault="00970AEE" w:rsidP="00340795">
      <w:pPr>
        <w:pStyle w:val="ListParagraph"/>
        <w:ind w:left="0"/>
      </w:pPr>
      <w:r>
        <w:t xml:space="preserve">Students will not only experience these approaches as they progress in the Programme; they will also include them in their planning and facilitation of learning sessions in their practice teaching activities. </w:t>
      </w:r>
    </w:p>
    <w:p w:rsidR="0059405F" w:rsidRDefault="007D625A" w:rsidP="00BE1307">
      <w:pPr>
        <w:pStyle w:val="Heading2"/>
      </w:pPr>
      <w:r>
        <w:t>Start</w:t>
      </w:r>
      <w:r w:rsidR="0059405F">
        <w:t>-</w:t>
      </w:r>
      <w:r>
        <w:t xml:space="preserve">up </w:t>
      </w:r>
      <w:r w:rsidR="0059405F">
        <w:t>Workshop</w:t>
      </w:r>
    </w:p>
    <w:p w:rsidR="0059405F" w:rsidRPr="0059405F" w:rsidRDefault="00DD378B" w:rsidP="0059405F">
      <w:r>
        <w:t xml:space="preserve">The purpose of the </w:t>
      </w:r>
      <w:r w:rsidR="003E3159">
        <w:t xml:space="preserve">start-up </w:t>
      </w:r>
      <w:r>
        <w:t xml:space="preserve">workshop is to </w:t>
      </w:r>
      <w:r w:rsidR="00334440">
        <w:t xml:space="preserve">introduce </w:t>
      </w:r>
      <w:r w:rsidR="003E3159">
        <w:t xml:space="preserve">students to </w:t>
      </w:r>
      <w:r w:rsidR="00334440">
        <w:t xml:space="preserve">the </w:t>
      </w:r>
      <w:r w:rsidR="00442830">
        <w:t>HCE</w:t>
      </w:r>
      <w:r w:rsidR="003E3159">
        <w:t>, the LMS, how to participate in a</w:t>
      </w:r>
      <w:r w:rsidR="00F1667A">
        <w:t xml:space="preserve"> </w:t>
      </w:r>
      <w:r w:rsidR="00334440">
        <w:t>blended l</w:t>
      </w:r>
      <w:r w:rsidR="003E3159">
        <w:t>earning environment</w:t>
      </w:r>
      <w:r w:rsidR="00F1667A">
        <w:t xml:space="preserve"> that combines supported e-learning and face-to-face </w:t>
      </w:r>
      <w:r w:rsidR="00F1667A">
        <w:lastRenderedPageBreak/>
        <w:t>sessions,</w:t>
      </w:r>
      <w:r w:rsidR="00334440">
        <w:t xml:space="preserve"> </w:t>
      </w:r>
      <w:r w:rsidR="00C76C47">
        <w:t xml:space="preserve">how to manage an </w:t>
      </w:r>
      <w:r w:rsidR="00DA43E5">
        <w:t>assessment</w:t>
      </w:r>
      <w:r w:rsidR="00C76C47">
        <w:t xml:space="preserve"> portfolio, how the teaching practi</w:t>
      </w:r>
      <w:r w:rsidR="00B866D7">
        <w:t xml:space="preserve">ce activities are organized </w:t>
      </w:r>
      <w:r w:rsidR="00C76C47">
        <w:t xml:space="preserve">and </w:t>
      </w:r>
      <w:r w:rsidR="003E3159">
        <w:t xml:space="preserve">what support they can expect from facilitators. </w:t>
      </w:r>
    </w:p>
    <w:p w:rsidR="00501F9A" w:rsidRDefault="00501F9A" w:rsidP="00501F9A">
      <w:r>
        <w:t>Workshops remain a popular method through which people develop their knowledge and vocational competence. Referring to workshops,</w:t>
      </w:r>
    </w:p>
    <w:p w:rsidR="00501F9A" w:rsidRDefault="00501F9A" w:rsidP="00501F9A">
      <w:pPr>
        <w:ind w:left="720"/>
      </w:pPr>
      <w:r w:rsidRPr="00501F9A">
        <w:rPr>
          <w:rStyle w:val="FootnoteReference"/>
          <w:sz w:val="20"/>
        </w:rPr>
        <w:footnoteReference w:id="5"/>
      </w:r>
      <w:r w:rsidRPr="00501F9A">
        <w:rPr>
          <w:sz w:val="20"/>
        </w:rPr>
        <w:t>Rowntree maintains that ‘they are not a vehicle for the transmission of information but for the thinking through of ideas or practising of competencies and for the sharing of individualised feedback.’</w:t>
      </w:r>
      <w:r>
        <w:t xml:space="preserve"> </w:t>
      </w:r>
    </w:p>
    <w:p w:rsidR="00501F9A" w:rsidRDefault="00501F9A" w:rsidP="00D36701">
      <w:pPr>
        <w:spacing w:after="0"/>
      </w:pPr>
      <w:r>
        <w:t>Workshops that have been successful in helping people to develop specific skills and that enable people to acquire competence and confidence are those that have paid attention to the following factors:</w:t>
      </w:r>
    </w:p>
    <w:p w:rsidR="00501F9A" w:rsidRPr="00501F9A" w:rsidRDefault="00501F9A" w:rsidP="00501F9A">
      <w:pPr>
        <w:pStyle w:val="ListParagraph"/>
        <w:numPr>
          <w:ilvl w:val="0"/>
          <w:numId w:val="1"/>
        </w:numPr>
      </w:pPr>
      <w:r w:rsidRPr="00501F9A">
        <w:t>The timing of the workshop coincided with the immediate needs of staff;</w:t>
      </w:r>
    </w:p>
    <w:p w:rsidR="00501F9A" w:rsidRPr="00501F9A" w:rsidRDefault="00501F9A" w:rsidP="00501F9A">
      <w:pPr>
        <w:pStyle w:val="ListParagraph"/>
        <w:numPr>
          <w:ilvl w:val="0"/>
          <w:numId w:val="1"/>
        </w:numPr>
      </w:pPr>
      <w:r w:rsidRPr="00501F9A">
        <w:t>Direct work relevance that makes the transfer to real work situations easier;</w:t>
      </w:r>
    </w:p>
    <w:p w:rsidR="00501F9A" w:rsidRPr="00501F9A" w:rsidRDefault="00501F9A" w:rsidP="00501F9A">
      <w:pPr>
        <w:pStyle w:val="ListParagraph"/>
        <w:numPr>
          <w:ilvl w:val="0"/>
          <w:numId w:val="1"/>
        </w:numPr>
      </w:pPr>
      <w:r w:rsidRPr="00501F9A">
        <w:t>Workshops that were followed by immediate on-the-job practice resulted in consolidation of skills.</w:t>
      </w:r>
    </w:p>
    <w:p w:rsidR="003B560D" w:rsidRDefault="00501F9A" w:rsidP="00501F9A">
      <w:r>
        <w:t xml:space="preserve">Workshops as isolated events have limited impact. When they are planned as part of a holistic </w:t>
      </w:r>
      <w:r w:rsidR="006B6871">
        <w:t xml:space="preserve">learning and teaching </w:t>
      </w:r>
      <w:r>
        <w:t>strategy</w:t>
      </w:r>
      <w:r w:rsidR="00B866D7">
        <w:t xml:space="preserve"> as in the </w:t>
      </w:r>
      <w:r w:rsidR="00442830">
        <w:t>HCE</w:t>
      </w:r>
      <w:r w:rsidR="000863E3">
        <w:t>,</w:t>
      </w:r>
      <w:r>
        <w:t xml:space="preserve"> it is possible to optimise their effectiveness. </w:t>
      </w:r>
    </w:p>
    <w:p w:rsidR="00C33760" w:rsidRDefault="00501F9A" w:rsidP="00BE1307">
      <w:pPr>
        <w:pStyle w:val="Heading2"/>
      </w:pPr>
      <w:r>
        <w:t>Technology supported learning</w:t>
      </w:r>
    </w:p>
    <w:p w:rsidR="009749EF" w:rsidRDefault="007F158C" w:rsidP="00BF2162">
      <w:r>
        <w:t xml:space="preserve">The </w:t>
      </w:r>
      <w:r w:rsidR="00B866D7">
        <w:t xml:space="preserve">students </w:t>
      </w:r>
      <w:r w:rsidR="009F321F">
        <w:t xml:space="preserve">will experience </w:t>
      </w:r>
      <w:r w:rsidR="00252BFB">
        <w:rPr>
          <w:rStyle w:val="FootnoteReference"/>
        </w:rPr>
        <w:footnoteReference w:id="6"/>
      </w:r>
      <w:r w:rsidR="009F321F">
        <w:t>technology supported learning by engaging with different kinds of activities on the LMS and on the Internet</w:t>
      </w:r>
      <w:r w:rsidR="006443DD">
        <w:t>.</w:t>
      </w:r>
      <w:r w:rsidR="009F321F">
        <w:t xml:space="preserve"> The</w:t>
      </w:r>
      <w:r w:rsidR="006443DD">
        <w:t xml:space="preserve">y </w:t>
      </w:r>
      <w:r w:rsidR="009F321F">
        <w:t>log in to the LMS where the</w:t>
      </w:r>
      <w:r w:rsidR="00B866D7">
        <w:t xml:space="preserve">y follow the </w:t>
      </w:r>
      <w:r w:rsidR="00442830">
        <w:t>HCE</w:t>
      </w:r>
      <w:r w:rsidR="00B866D7">
        <w:t xml:space="preserve"> </w:t>
      </w:r>
      <w:r w:rsidR="009F321F">
        <w:t>Learning Pathway</w:t>
      </w:r>
      <w:r w:rsidR="006443DD">
        <w:t xml:space="preserve"> which </w:t>
      </w:r>
      <w:r w:rsidR="009F321F">
        <w:t xml:space="preserve">guides them </w:t>
      </w:r>
      <w:r w:rsidR="006443DD">
        <w:t xml:space="preserve">to </w:t>
      </w:r>
      <w:r w:rsidR="009F321F">
        <w:t>the activities</w:t>
      </w:r>
      <w:r w:rsidR="006443DD">
        <w:t>,</w:t>
      </w:r>
      <w:r w:rsidR="009F321F">
        <w:t xml:space="preserve"> suggested readings and resources</w:t>
      </w:r>
      <w:r w:rsidR="006443DD">
        <w:t xml:space="preserve">, and </w:t>
      </w:r>
      <w:r w:rsidR="00A32910">
        <w:t xml:space="preserve">the </w:t>
      </w:r>
      <w:r w:rsidR="006443DD">
        <w:t>individual learning journal</w:t>
      </w:r>
      <w:r w:rsidR="00A32910">
        <w:t xml:space="preserve"> in which students record their learning experiences.</w:t>
      </w:r>
      <w:r w:rsidR="006443DD">
        <w:t xml:space="preserve"> </w:t>
      </w:r>
      <w:r w:rsidR="00795742">
        <w:t xml:space="preserve">They will experience online and offline communication with their facilitators and peers on the forum, </w:t>
      </w:r>
      <w:r w:rsidR="00DA43E5">
        <w:t xml:space="preserve">Skype </w:t>
      </w:r>
      <w:r w:rsidR="00795742">
        <w:t xml:space="preserve">and email. </w:t>
      </w:r>
    </w:p>
    <w:p w:rsidR="009749EF" w:rsidRDefault="009749EF" w:rsidP="009749EF">
      <w:pPr>
        <w:pStyle w:val="Heading2"/>
      </w:pPr>
      <w:r>
        <w:t xml:space="preserve">Facilitator-led contact sessions </w:t>
      </w:r>
    </w:p>
    <w:p w:rsidR="00BF2162" w:rsidRDefault="006443DD" w:rsidP="00BF2162">
      <w:r>
        <w:t xml:space="preserve">The technology supported learning activities are complemented with face-to-face </w:t>
      </w:r>
      <w:r w:rsidR="00B866D7">
        <w:t>activities in the contact sessions</w:t>
      </w:r>
      <w:r w:rsidR="00795742">
        <w:t xml:space="preserve"> where students </w:t>
      </w:r>
      <w:r w:rsidR="00A32910">
        <w:t xml:space="preserve">are </w:t>
      </w:r>
      <w:r w:rsidR="00B866D7">
        <w:t xml:space="preserve">able to </w:t>
      </w:r>
      <w:r w:rsidR="00795742">
        <w:t>participate in facilitator-led discussions and reflections</w:t>
      </w:r>
      <w:r w:rsidR="00BF2162">
        <w:t xml:space="preserve"> on emerging issues and difficulties, work in teams to find solutions to common problems, and offer each other support.</w:t>
      </w:r>
    </w:p>
    <w:p w:rsidR="00DA2602" w:rsidRDefault="00DA2602" w:rsidP="00BE1307">
      <w:pPr>
        <w:pStyle w:val="Heading2"/>
      </w:pPr>
      <w:r>
        <w:t>Resource based learning</w:t>
      </w:r>
    </w:p>
    <w:p w:rsidR="002F69B4" w:rsidRPr="007F4404" w:rsidRDefault="002F69B4" w:rsidP="002F69B4">
      <w:pPr>
        <w:pStyle w:val="ListParagraph"/>
        <w:tabs>
          <w:tab w:val="left" w:pos="3261"/>
        </w:tabs>
        <w:ind w:left="0"/>
        <w:rPr>
          <w:b/>
          <w:lang w:val="en-GB"/>
        </w:rPr>
      </w:pPr>
      <w:r>
        <w:rPr>
          <w:lang w:val="en-GB"/>
        </w:rPr>
        <w:t xml:space="preserve">Resource-based learning has become the norm in the information age as our ability to access multiple sources of information continues to increase. Students will engage with a selection of relevant resources linked to key learning </w:t>
      </w:r>
      <w:r w:rsidR="00E30004">
        <w:rPr>
          <w:lang w:val="en-GB"/>
        </w:rPr>
        <w:t xml:space="preserve">and assessment </w:t>
      </w:r>
      <w:r>
        <w:rPr>
          <w:lang w:val="en-GB"/>
        </w:rPr>
        <w:t>activities designed a</w:t>
      </w:r>
      <w:r w:rsidR="00451CED">
        <w:rPr>
          <w:lang w:val="en-GB"/>
        </w:rPr>
        <w:t>s part of an accessible online Learning P</w:t>
      </w:r>
      <w:r>
        <w:rPr>
          <w:lang w:val="en-GB"/>
        </w:rPr>
        <w:t>athway. W</w:t>
      </w:r>
      <w:r>
        <w:t xml:space="preserve">herever possible, suitable Open Education Resources (OER) </w:t>
      </w:r>
      <w:r w:rsidR="00E30004">
        <w:t xml:space="preserve">are </w:t>
      </w:r>
      <w:r>
        <w:t xml:space="preserve">identified, adapted as necessary, and used. </w:t>
      </w:r>
      <w:r>
        <w:rPr>
          <w:lang w:val="en-GB"/>
        </w:rPr>
        <w:t xml:space="preserve">Students will </w:t>
      </w:r>
      <w:r>
        <w:t xml:space="preserve">have access to three main categories of resources: </w:t>
      </w:r>
    </w:p>
    <w:p w:rsidR="002F69B4" w:rsidRDefault="002F69B4" w:rsidP="002F69B4">
      <w:pPr>
        <w:pStyle w:val="ListParagraph"/>
        <w:numPr>
          <w:ilvl w:val="0"/>
          <w:numId w:val="4"/>
        </w:numPr>
      </w:pPr>
      <w:r>
        <w:t>Primary resources</w:t>
      </w:r>
      <w:r w:rsidR="009749EF">
        <w:t xml:space="preserve"> are available on the LMS and </w:t>
      </w:r>
      <w:r>
        <w:t>include, for example, core readings, videos, teleconferencing with selected experts</w:t>
      </w:r>
      <w:r w:rsidR="009749EF">
        <w:t>.</w:t>
      </w:r>
      <w:r>
        <w:t xml:space="preserve"> </w:t>
      </w:r>
    </w:p>
    <w:p w:rsidR="002F69B4" w:rsidRDefault="002F69B4" w:rsidP="002F69B4">
      <w:pPr>
        <w:pStyle w:val="ListParagraph"/>
        <w:numPr>
          <w:ilvl w:val="0"/>
          <w:numId w:val="4"/>
        </w:numPr>
      </w:pPr>
      <w:r>
        <w:t xml:space="preserve">Secondary resources are listed as supplementary information. </w:t>
      </w:r>
    </w:p>
    <w:p w:rsidR="00E30004" w:rsidRDefault="002F69B4" w:rsidP="00E30004">
      <w:pPr>
        <w:pStyle w:val="ListParagraph"/>
        <w:numPr>
          <w:ilvl w:val="0"/>
          <w:numId w:val="4"/>
        </w:numPr>
      </w:pPr>
      <w:r>
        <w:lastRenderedPageBreak/>
        <w:t>Online resources: Students search for their own resources on the Internet as the need arises. They build up their own set of supportive resources which they can share with their peers.</w:t>
      </w:r>
    </w:p>
    <w:p w:rsidR="002F69B4" w:rsidRPr="00E30004" w:rsidRDefault="002F69B4" w:rsidP="00E30004">
      <w:r w:rsidRPr="00E30004">
        <w:t xml:space="preserve">The use of multiple resources encourages students to deepen their understanding of their learners and how they can improve their response to and support of them. </w:t>
      </w:r>
      <w:r w:rsidR="00E30004" w:rsidRPr="00E30004">
        <w:t>A</w:t>
      </w:r>
      <w:r w:rsidR="00E30004">
        <w:t xml:space="preserve">ppropriate </w:t>
      </w:r>
      <w:r w:rsidR="00E30004" w:rsidRPr="00E30004">
        <w:t xml:space="preserve">support is </w:t>
      </w:r>
      <w:r w:rsidR="00D36701">
        <w:t>embedded i</w:t>
      </w:r>
      <w:r w:rsidR="00451CED">
        <w:t>n the Learning P</w:t>
      </w:r>
      <w:r w:rsidR="00E30004">
        <w:t xml:space="preserve">athway across </w:t>
      </w:r>
      <w:r w:rsidR="00E30004" w:rsidRPr="00E30004">
        <w:t>modules to strengthen</w:t>
      </w:r>
      <w:r w:rsidR="00E30004">
        <w:t xml:space="preserve"> the students’ ability to learn from a variety of resources.</w:t>
      </w:r>
    </w:p>
    <w:p w:rsidR="007F158C" w:rsidRDefault="009F321F" w:rsidP="00BE1307">
      <w:pPr>
        <w:pStyle w:val="Heading2"/>
      </w:pPr>
      <w:r>
        <w:t xml:space="preserve">Independent </w:t>
      </w:r>
      <w:r w:rsidR="00644034">
        <w:t>learning</w:t>
      </w:r>
    </w:p>
    <w:p w:rsidR="00DA2602" w:rsidRPr="007F158C" w:rsidRDefault="00644034" w:rsidP="007F158C">
      <w:r>
        <w:t xml:space="preserve">Independent </w:t>
      </w:r>
      <w:r w:rsidR="009F321F">
        <w:t xml:space="preserve">or self directed </w:t>
      </w:r>
      <w:r>
        <w:t xml:space="preserve">learning is what most people do anyway mostly in an informal and self directed way. There is usually a high level of motivation on the part of the learner because of the strong linkage to real work needs. </w:t>
      </w:r>
      <w:r w:rsidR="001E1233">
        <w:t xml:space="preserve">Independent learning activities are included </w:t>
      </w:r>
      <w:r w:rsidR="00E30004">
        <w:t>on the LMS</w:t>
      </w:r>
      <w:r w:rsidR="003439DC">
        <w:t xml:space="preserve"> and </w:t>
      </w:r>
      <w:r w:rsidR="00E30004">
        <w:t>during contact sessions a</w:t>
      </w:r>
      <w:r w:rsidR="00C96143">
        <w:t xml:space="preserve">nd </w:t>
      </w:r>
      <w:r w:rsidR="00E30004">
        <w:t xml:space="preserve">students </w:t>
      </w:r>
      <w:r w:rsidR="00C96143">
        <w:t xml:space="preserve">are expected </w:t>
      </w:r>
      <w:r w:rsidR="00862EFB">
        <w:t xml:space="preserve">and supported </w:t>
      </w:r>
      <w:r w:rsidR="00C96143">
        <w:t xml:space="preserve">to continue to take responsibility for improving their </w:t>
      </w:r>
      <w:r w:rsidR="003439DC">
        <w:t xml:space="preserve">learning and teaching practice skills. </w:t>
      </w:r>
    </w:p>
    <w:p w:rsidR="00DA2602" w:rsidRDefault="00DA2602" w:rsidP="00BE1307">
      <w:pPr>
        <w:pStyle w:val="Heading2"/>
      </w:pPr>
      <w:r>
        <w:t>Working in teams</w:t>
      </w:r>
    </w:p>
    <w:p w:rsidR="00DA2602" w:rsidRDefault="001E1233" w:rsidP="00DA2602">
      <w:r>
        <w:t xml:space="preserve">Team activities </w:t>
      </w:r>
      <w:r w:rsidR="003439DC">
        <w:t xml:space="preserve">are included in online and offline learning activities and particularly during contact sessions. They </w:t>
      </w:r>
      <w:r>
        <w:t xml:space="preserve">provide multiple opportunities for </w:t>
      </w:r>
      <w:r w:rsidR="003439DC">
        <w:t xml:space="preserve">students </w:t>
      </w:r>
      <w:r>
        <w:t xml:space="preserve">to collaborate and </w:t>
      </w:r>
      <w:r w:rsidR="003634AB">
        <w:t xml:space="preserve">collectively </w:t>
      </w:r>
      <w:r>
        <w:t xml:space="preserve">develop their insights and skills. Team work is a central component of the </w:t>
      </w:r>
      <w:r w:rsidR="00C96143">
        <w:t>C</w:t>
      </w:r>
      <w:r>
        <w:t xml:space="preserve">ommunity of </w:t>
      </w:r>
      <w:r w:rsidR="00C96143">
        <w:t>P</w:t>
      </w:r>
      <w:r>
        <w:t xml:space="preserve">ractice </w:t>
      </w:r>
      <w:r w:rsidR="003439DC">
        <w:t xml:space="preserve">Forum </w:t>
      </w:r>
      <w:r w:rsidR="00457789">
        <w:t xml:space="preserve">that </w:t>
      </w:r>
      <w:r w:rsidR="003439DC">
        <w:t xml:space="preserve">students participate in for the duration of the Programme. </w:t>
      </w:r>
      <w:r w:rsidR="00294936">
        <w:t xml:space="preserve">Working collaboratively provides </w:t>
      </w:r>
      <w:r w:rsidR="003439DC">
        <w:t xml:space="preserve">students </w:t>
      </w:r>
      <w:r w:rsidR="00294936">
        <w:t xml:space="preserve">with </w:t>
      </w:r>
      <w:r w:rsidR="003439DC">
        <w:t>much needed peer support and the mo</w:t>
      </w:r>
      <w:r w:rsidR="00451CED">
        <w:t>tivation to continue along the Learning P</w:t>
      </w:r>
      <w:r w:rsidR="003439DC">
        <w:t xml:space="preserve">athway in order to achieve success. </w:t>
      </w:r>
    </w:p>
    <w:p w:rsidR="007F158C" w:rsidRDefault="00CF0A81" w:rsidP="00BE1307">
      <w:pPr>
        <w:pStyle w:val="Heading2"/>
      </w:pPr>
      <w:r>
        <w:t>Community of p</w:t>
      </w:r>
      <w:r w:rsidR="00DA2602" w:rsidRPr="00DA2602">
        <w:t>ractice</w:t>
      </w:r>
      <w:r w:rsidR="00C33760">
        <w:t xml:space="preserve"> </w:t>
      </w:r>
    </w:p>
    <w:p w:rsidR="00294936" w:rsidRDefault="001E1233" w:rsidP="007F158C">
      <w:r>
        <w:t>People who share a common interest have been sharing information and learning together informally for years. In recent times</w:t>
      </w:r>
      <w:r w:rsidR="000863E3">
        <w:t>,</w:t>
      </w:r>
      <w:r>
        <w:t xml:space="preserve"> the </w:t>
      </w:r>
      <w:r w:rsidR="00294936">
        <w:t xml:space="preserve">term </w:t>
      </w:r>
      <w:r w:rsidR="00862EFB">
        <w:t>c</w:t>
      </w:r>
      <w:r>
        <w:t xml:space="preserve">ommunity of </w:t>
      </w:r>
      <w:r w:rsidR="00862EFB">
        <w:t>p</w:t>
      </w:r>
      <w:r>
        <w:t xml:space="preserve">ractice was coined and </w:t>
      </w:r>
      <w:r w:rsidR="00294936">
        <w:t>the concept is being adopted by individuals and organisations across diverse contexts as a powerful mechanism for building the capacity of the members individually and collectively. In a nutshell:</w:t>
      </w:r>
    </w:p>
    <w:p w:rsidR="003634AB" w:rsidRDefault="00294936" w:rsidP="00294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Arial"/>
          <w:color w:val="000000"/>
          <w:sz w:val="20"/>
          <w:szCs w:val="21"/>
          <w:lang w:val="en-US"/>
        </w:rPr>
      </w:pPr>
      <w:r w:rsidRPr="00294936">
        <w:rPr>
          <w:rFonts w:cs="Arial"/>
          <w:color w:val="000000"/>
          <w:sz w:val="20"/>
          <w:szCs w:val="21"/>
          <w:lang w:val="en-US"/>
        </w:rPr>
        <w:t>Communities of practice are groups of people who share a</w:t>
      </w:r>
      <w:r>
        <w:rPr>
          <w:rFonts w:cs="Arial"/>
          <w:color w:val="000000"/>
          <w:sz w:val="20"/>
          <w:szCs w:val="21"/>
          <w:lang w:val="en-US"/>
        </w:rPr>
        <w:t xml:space="preserve"> </w:t>
      </w:r>
      <w:r w:rsidRPr="00294936">
        <w:rPr>
          <w:rFonts w:cs="Arial"/>
          <w:color w:val="000000"/>
          <w:sz w:val="20"/>
          <w:szCs w:val="21"/>
          <w:lang w:val="en-US"/>
        </w:rPr>
        <w:t>concern or a passion for something they do and learn how</w:t>
      </w:r>
      <w:r>
        <w:rPr>
          <w:rFonts w:cs="Arial"/>
          <w:color w:val="000000"/>
          <w:sz w:val="20"/>
          <w:szCs w:val="21"/>
          <w:lang w:val="en-US"/>
        </w:rPr>
        <w:t xml:space="preserve"> </w:t>
      </w:r>
      <w:r w:rsidRPr="00294936">
        <w:rPr>
          <w:rFonts w:cs="Arial"/>
          <w:color w:val="000000"/>
          <w:sz w:val="20"/>
          <w:szCs w:val="21"/>
          <w:lang w:val="en-US"/>
        </w:rPr>
        <w:t>to do it better as they interact regularly.</w:t>
      </w:r>
      <w:r>
        <w:rPr>
          <w:rFonts w:cs="Arial"/>
          <w:color w:val="000000"/>
          <w:sz w:val="20"/>
          <w:szCs w:val="21"/>
          <w:lang w:val="en-US"/>
        </w:rPr>
        <w:t xml:space="preserve"> </w:t>
      </w:r>
    </w:p>
    <w:p w:rsidR="003634AB" w:rsidRDefault="003634AB" w:rsidP="0045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61"/>
        <w:rPr>
          <w:rFonts w:cs="Arial"/>
          <w:color w:val="000000"/>
          <w:sz w:val="20"/>
          <w:szCs w:val="21"/>
          <w:lang w:val="en-US"/>
        </w:rPr>
      </w:pPr>
      <w:r w:rsidRPr="003634AB">
        <w:rPr>
          <w:rFonts w:cs="Arial"/>
          <w:color w:val="000000"/>
          <w:sz w:val="20"/>
          <w:szCs w:val="21"/>
          <w:lang w:val="en-US"/>
        </w:rPr>
        <w:t xml:space="preserve">Membership therefore implies a commitment to the domain, and therefore a shared competence that distinguishes members from other people. </w:t>
      </w:r>
    </w:p>
    <w:p w:rsidR="003634AB" w:rsidRPr="003634AB" w:rsidRDefault="003634AB" w:rsidP="0045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61"/>
        <w:rPr>
          <w:rFonts w:cs="Arial"/>
          <w:color w:val="000000"/>
          <w:sz w:val="20"/>
          <w:szCs w:val="21"/>
          <w:lang w:val="en-US"/>
        </w:rPr>
      </w:pPr>
      <w:r w:rsidRPr="003634AB">
        <w:rPr>
          <w:rFonts w:cs="Arial"/>
          <w:color w:val="000000"/>
          <w:sz w:val="20"/>
          <w:szCs w:val="21"/>
          <w:lang w:val="en-US"/>
        </w:rPr>
        <w:t>Members engage in joint activities and discussions, help each other, and share information. They build relationships that enable them to learn from each other.</w:t>
      </w:r>
    </w:p>
    <w:p w:rsidR="003634AB" w:rsidRDefault="003634AB" w:rsidP="0045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561"/>
        <w:rPr>
          <w:rFonts w:cs="Arial"/>
          <w:color w:val="000000"/>
          <w:sz w:val="20"/>
          <w:szCs w:val="21"/>
          <w:lang w:val="en-US"/>
        </w:rPr>
      </w:pPr>
      <w:r w:rsidRPr="003634AB">
        <w:rPr>
          <w:rFonts w:cs="Arial"/>
          <w:color w:val="000000"/>
          <w:sz w:val="20"/>
          <w:szCs w:val="21"/>
          <w:lang w:val="en-US"/>
        </w:rPr>
        <w:t>They develop a shared repertoire of resources: experiences, stories, tools, ways of addressing recurring problems—in short a shared practice.</w:t>
      </w:r>
    </w:p>
    <w:p w:rsidR="00294936" w:rsidRPr="00294936" w:rsidRDefault="00294936" w:rsidP="00294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Arial"/>
          <w:color w:val="000000"/>
          <w:sz w:val="20"/>
          <w:szCs w:val="21"/>
          <w:lang w:val="en-US"/>
        </w:rPr>
      </w:pPr>
      <w:r>
        <w:rPr>
          <w:rFonts w:cs="Arial"/>
          <w:color w:val="000000"/>
          <w:sz w:val="20"/>
          <w:szCs w:val="21"/>
          <w:lang w:val="en-US"/>
        </w:rPr>
        <w:t>(Wenger, Tr</w:t>
      </w:r>
      <w:r w:rsidR="00862EFB">
        <w:rPr>
          <w:rFonts w:cs="Arial"/>
          <w:color w:val="000000"/>
          <w:sz w:val="20"/>
          <w:szCs w:val="21"/>
          <w:lang w:val="en-US"/>
        </w:rPr>
        <w:t>a</w:t>
      </w:r>
      <w:r>
        <w:rPr>
          <w:rFonts w:cs="Arial"/>
          <w:color w:val="000000"/>
          <w:sz w:val="20"/>
          <w:szCs w:val="21"/>
          <w:lang w:val="en-US"/>
        </w:rPr>
        <w:t>y</w:t>
      </w:r>
      <w:r w:rsidR="00862EFB">
        <w:rPr>
          <w:rFonts w:cs="Arial"/>
          <w:color w:val="000000"/>
          <w:sz w:val="20"/>
          <w:szCs w:val="21"/>
          <w:lang w:val="en-US"/>
        </w:rPr>
        <w:t>ner)</w:t>
      </w:r>
    </w:p>
    <w:p w:rsidR="004C62C3" w:rsidRDefault="00C96143" w:rsidP="003634AB">
      <w:pPr>
        <w:spacing w:before="240"/>
      </w:pPr>
      <w:r>
        <w:t>A vibrant c</w:t>
      </w:r>
      <w:r w:rsidR="003634AB">
        <w:t xml:space="preserve">ommunity of practice </w:t>
      </w:r>
      <w:r w:rsidR="00CF0A81">
        <w:t>offers</w:t>
      </w:r>
      <w:r w:rsidR="003634AB">
        <w:t xml:space="preserve"> multiple opportunities for </w:t>
      </w:r>
      <w:r w:rsidR="003439DC">
        <w:t xml:space="preserve">students </w:t>
      </w:r>
      <w:r w:rsidR="003634AB">
        <w:t>to share their experiences, engage in critical reflection on their experiences, seek solutions to problems, support and energize one another</w:t>
      </w:r>
      <w:r w:rsidR="000863E3">
        <w:t>,</w:t>
      </w:r>
      <w:r w:rsidR="003634AB">
        <w:t xml:space="preserve"> and help to sustain motivation levels. </w:t>
      </w:r>
      <w:r w:rsidR="006D6726">
        <w:t xml:space="preserve">Students can </w:t>
      </w:r>
      <w:r w:rsidR="003439DC">
        <w:t xml:space="preserve">forge contacts with other students as well as internal and external educators. Hopefully this experience will continue beyond the Programme and afford students a powerful network of support in the future. </w:t>
      </w:r>
    </w:p>
    <w:p w:rsidR="004C62C3" w:rsidRDefault="004C62C3" w:rsidP="00BE1307">
      <w:pPr>
        <w:pStyle w:val="Heading2"/>
      </w:pPr>
      <w:r>
        <w:lastRenderedPageBreak/>
        <w:t>Teaching practice</w:t>
      </w:r>
    </w:p>
    <w:p w:rsidR="004C62C3" w:rsidRDefault="004C62C3" w:rsidP="003439DC">
      <w:r>
        <w:t>D</w:t>
      </w:r>
      <w:r w:rsidRPr="00C01AA7">
        <w:t xml:space="preserve">uring </w:t>
      </w:r>
      <w:r>
        <w:t xml:space="preserve">the course of the </w:t>
      </w:r>
      <w:r w:rsidR="00157990">
        <w:t xml:space="preserve">HCE each student is </w:t>
      </w:r>
      <w:r w:rsidRPr="00C01AA7">
        <w:t xml:space="preserve">expected to complete </w:t>
      </w:r>
      <w:r w:rsidR="00157990">
        <w:t>4 teaching practice assignments</w:t>
      </w:r>
      <w:r>
        <w:t xml:space="preserve"> </w:t>
      </w:r>
      <w:r w:rsidRPr="00C01AA7">
        <w:t xml:space="preserve">that require the application of </w:t>
      </w:r>
      <w:r w:rsidR="00157990">
        <w:t xml:space="preserve">her or his </w:t>
      </w:r>
      <w:r w:rsidRPr="00C01AA7">
        <w:t>total knowledge base</w:t>
      </w:r>
      <w:r>
        <w:t xml:space="preserve"> – applied </w:t>
      </w:r>
      <w:r w:rsidR="00DA43E5">
        <w:t xml:space="preserve">competence </w:t>
      </w:r>
      <w:r w:rsidR="00DA43E5" w:rsidRPr="00C01AA7">
        <w:t>–</w:t>
      </w:r>
      <w:r w:rsidRPr="00C01AA7">
        <w:t xml:space="preserve"> </w:t>
      </w:r>
      <w:r>
        <w:t>with all modules contributing</w:t>
      </w:r>
      <w:r w:rsidR="00157990">
        <w:t xml:space="preserve"> to a </w:t>
      </w:r>
      <w:r w:rsidRPr="00C01AA7">
        <w:t>well</w:t>
      </w:r>
      <w:r>
        <w:t>-</w:t>
      </w:r>
      <w:r w:rsidRPr="00C01AA7">
        <w:t>rounded, balanced and well</w:t>
      </w:r>
      <w:r>
        <w:t>-informed professional educator</w:t>
      </w:r>
      <w:r w:rsidRPr="00C01AA7">
        <w:t xml:space="preserve">. </w:t>
      </w:r>
    </w:p>
    <w:p w:rsidR="004C62C3" w:rsidRDefault="004C62C3" w:rsidP="00BF2162">
      <w:pPr>
        <w:spacing w:before="240"/>
      </w:pPr>
      <w:r w:rsidRPr="00C01AA7">
        <w:t xml:space="preserve">A portfolio completed over </w:t>
      </w:r>
      <w:r>
        <w:t xml:space="preserve">all four teaching </w:t>
      </w:r>
      <w:r w:rsidRPr="00C01AA7">
        <w:t xml:space="preserve">practice </w:t>
      </w:r>
      <w:r>
        <w:t xml:space="preserve">placements is </w:t>
      </w:r>
      <w:r w:rsidRPr="00C01AA7">
        <w:t xml:space="preserve">a visual tool to illustrate </w:t>
      </w:r>
      <w:r w:rsidR="00157990">
        <w:t xml:space="preserve">a student’s </w:t>
      </w:r>
      <w:r w:rsidRPr="00C01AA7">
        <w:t xml:space="preserve">professional and personal growth over the period and </w:t>
      </w:r>
      <w:r>
        <w:t>to enhance</w:t>
      </w:r>
      <w:r w:rsidRPr="00C01AA7">
        <w:t xml:space="preserve"> </w:t>
      </w:r>
      <w:r w:rsidR="00157990">
        <w:t xml:space="preserve">her or his </w:t>
      </w:r>
      <w:r w:rsidRPr="00C01AA7">
        <w:t>reflective competence as a</w:t>
      </w:r>
      <w:r>
        <w:t>n emerging</w:t>
      </w:r>
      <w:r w:rsidRPr="00C01AA7">
        <w:t xml:space="preserve"> professional teacher.</w:t>
      </w:r>
    </w:p>
    <w:p w:rsidR="007F158C" w:rsidRDefault="0059405F" w:rsidP="00BE1307">
      <w:pPr>
        <w:pStyle w:val="Heading2"/>
      </w:pPr>
      <w:r>
        <w:t>M</w:t>
      </w:r>
      <w:r w:rsidR="00C33760">
        <w:t>entoring</w:t>
      </w:r>
    </w:p>
    <w:p w:rsidR="00144A4E" w:rsidRDefault="007933D1" w:rsidP="006443DD">
      <w:r>
        <w:t>The term mentor</w:t>
      </w:r>
      <w:r w:rsidR="00031BA2">
        <w:t xml:space="preserve">ing is used broadly to include coaching. </w:t>
      </w:r>
      <w:r w:rsidR="007F158C" w:rsidRPr="007F158C">
        <w:t xml:space="preserve">Mentoring by </w:t>
      </w:r>
      <w:r w:rsidR="006443DD">
        <w:t>mentors</w:t>
      </w:r>
      <w:r w:rsidR="007F158C" w:rsidRPr="007F158C">
        <w:t xml:space="preserve"> who are able to provide </w:t>
      </w:r>
      <w:r w:rsidR="00862EFB">
        <w:t xml:space="preserve">appropriate </w:t>
      </w:r>
      <w:r w:rsidR="006443DD">
        <w:t>support t</w:t>
      </w:r>
      <w:r w:rsidR="007F158C" w:rsidRPr="007F158C">
        <w:t xml:space="preserve">o an individual </w:t>
      </w:r>
      <w:r w:rsidR="00275D92">
        <w:t xml:space="preserve">can be a helpful way of building capacity. </w:t>
      </w:r>
      <w:r w:rsidR="007F158C" w:rsidRPr="007F158C">
        <w:t xml:space="preserve">The locus of control in the relationship usually resides with the learner. The mentor is the critical friend who listens and questions to encourage the learner to deepen </w:t>
      </w:r>
      <w:r w:rsidR="006443DD">
        <w:t>her or his</w:t>
      </w:r>
      <w:r w:rsidR="007F158C" w:rsidRPr="007F158C">
        <w:t xml:space="preserve"> understanding of the issues</w:t>
      </w:r>
      <w:r w:rsidR="0059405F">
        <w:t>,</w:t>
      </w:r>
      <w:r w:rsidR="007F158C" w:rsidRPr="007F158C">
        <w:t xml:space="preserve"> to broade</w:t>
      </w:r>
      <w:r w:rsidR="007F158C">
        <w:t>n</w:t>
      </w:r>
      <w:r w:rsidR="007F158C" w:rsidRPr="007F158C">
        <w:t xml:space="preserve"> perspective</w:t>
      </w:r>
      <w:r w:rsidR="0059405F">
        <w:t>, to reflect critically on practice</w:t>
      </w:r>
      <w:r w:rsidR="00DD378B">
        <w:t>, and to provide constructive feedback</w:t>
      </w:r>
      <w:r w:rsidR="0059405F">
        <w:t xml:space="preserve">. </w:t>
      </w:r>
      <w:r w:rsidR="00862EFB">
        <w:t xml:space="preserve">The </w:t>
      </w:r>
      <w:r w:rsidR="00157990">
        <w:t xml:space="preserve">students </w:t>
      </w:r>
      <w:r w:rsidR="00862EFB">
        <w:t xml:space="preserve">will experience </w:t>
      </w:r>
      <w:r w:rsidR="0059405F">
        <w:t>different kinds of mentoring:</w:t>
      </w:r>
      <w:r w:rsidR="00862EFB">
        <w:t xml:space="preserve"> </w:t>
      </w:r>
    </w:p>
    <w:p w:rsidR="00144A4E" w:rsidRDefault="00537904" w:rsidP="00144A4E">
      <w:pPr>
        <w:pStyle w:val="ListParagraph"/>
        <w:numPr>
          <w:ilvl w:val="0"/>
          <w:numId w:val="5"/>
        </w:numPr>
      </w:pPr>
      <w:r>
        <w:t xml:space="preserve">During the orientation and contact sessions </w:t>
      </w:r>
      <w:r w:rsidR="0059405F">
        <w:t xml:space="preserve">the </w:t>
      </w:r>
      <w:r>
        <w:t xml:space="preserve">facilitators </w:t>
      </w:r>
      <w:r w:rsidR="0059405F">
        <w:t xml:space="preserve">offer </w:t>
      </w:r>
      <w:r w:rsidR="00144A4E">
        <w:t xml:space="preserve">mentoring in the form of critical reflection and </w:t>
      </w:r>
      <w:r>
        <w:t>constructive feedback</w:t>
      </w:r>
      <w:r w:rsidR="00157990">
        <w:t>.</w:t>
      </w:r>
      <w:r w:rsidR="00144A4E">
        <w:t xml:space="preserve"> </w:t>
      </w:r>
    </w:p>
    <w:p w:rsidR="00537904" w:rsidRDefault="00144A4E" w:rsidP="00144A4E">
      <w:pPr>
        <w:pStyle w:val="ListParagraph"/>
        <w:numPr>
          <w:ilvl w:val="0"/>
          <w:numId w:val="5"/>
        </w:numPr>
      </w:pPr>
      <w:r>
        <w:t xml:space="preserve">During the </w:t>
      </w:r>
      <w:r w:rsidR="00537904">
        <w:t>teaching practice sessions an appointed mentor provide</w:t>
      </w:r>
      <w:r w:rsidR="006D6726">
        <w:t>s</w:t>
      </w:r>
      <w:r w:rsidR="00157990">
        <w:t xml:space="preserve"> critical feedback and coaching.</w:t>
      </w:r>
    </w:p>
    <w:p w:rsidR="00DD378B" w:rsidRDefault="00537904" w:rsidP="00144A4E">
      <w:pPr>
        <w:pStyle w:val="ListParagraph"/>
        <w:numPr>
          <w:ilvl w:val="0"/>
          <w:numId w:val="5"/>
        </w:numPr>
      </w:pPr>
      <w:r>
        <w:t>During the course of the Programme students can engage individually with the facilitator or an appointed mentor as the need arises.</w:t>
      </w:r>
    </w:p>
    <w:p w:rsidR="00DD378B" w:rsidRDefault="00DD378B" w:rsidP="00BE1307">
      <w:pPr>
        <w:pStyle w:val="Heading2"/>
      </w:pPr>
      <w:r>
        <w:t>Learning journal</w:t>
      </w:r>
    </w:p>
    <w:p w:rsidR="00E17F7B" w:rsidRDefault="00DD378B" w:rsidP="00DD378B">
      <w:r>
        <w:t xml:space="preserve">A learning journal </w:t>
      </w:r>
      <w:r w:rsidR="00E17F7B">
        <w:t xml:space="preserve">is not just a record of learning experiences. It focuses on ongoing issues over time and the main purpose is to reflect on experiences and actions with a view to learning from them. The digital learning journal which </w:t>
      </w:r>
      <w:r w:rsidR="00537904">
        <w:t xml:space="preserve">students </w:t>
      </w:r>
      <w:r w:rsidR="00E17F7B">
        <w:t xml:space="preserve">are encouraged to maintain is a tool that encourages reflective and critical learning behaviour. The learning journal as a written </w:t>
      </w:r>
      <w:r w:rsidR="00537904">
        <w:t xml:space="preserve">and/or video </w:t>
      </w:r>
      <w:r w:rsidR="00E17F7B">
        <w:t xml:space="preserve">record of experiences and insights </w:t>
      </w:r>
      <w:r w:rsidR="001F7BC8">
        <w:t xml:space="preserve">at key points </w:t>
      </w:r>
      <w:r w:rsidR="00E17F7B">
        <w:t xml:space="preserve">is a valuable resource </w:t>
      </w:r>
      <w:r w:rsidR="00CF0A81">
        <w:t>that</w:t>
      </w:r>
      <w:r w:rsidR="00E17F7B">
        <w:t xml:space="preserve"> can be shared with other </w:t>
      </w:r>
      <w:r w:rsidR="00537904">
        <w:t xml:space="preserve">students </w:t>
      </w:r>
      <w:r w:rsidR="002F457E">
        <w:t>in</w:t>
      </w:r>
      <w:r w:rsidR="00537904">
        <w:t xml:space="preserve"> the Community of Practice Forum.</w:t>
      </w:r>
      <w:r w:rsidR="00E17F7B">
        <w:t xml:space="preserve"> </w:t>
      </w:r>
    </w:p>
    <w:p w:rsidR="00581A0A" w:rsidRDefault="001E0427" w:rsidP="00DD378B">
      <w:pPr>
        <w:pStyle w:val="Heading3"/>
      </w:pPr>
      <w:r>
        <w:t>e</w:t>
      </w:r>
      <w:r w:rsidRPr="00BE1307">
        <w:rPr>
          <w:sz w:val="24"/>
          <w:szCs w:val="26"/>
        </w:rPr>
        <w:t>-</w:t>
      </w:r>
      <w:r w:rsidR="00DD378B" w:rsidRPr="00BE1307">
        <w:rPr>
          <w:sz w:val="24"/>
          <w:szCs w:val="26"/>
        </w:rPr>
        <w:t>Portfolio</w:t>
      </w:r>
    </w:p>
    <w:p w:rsidR="00970AEE" w:rsidRDefault="00581A0A" w:rsidP="00581A0A">
      <w:r w:rsidRPr="00E17F7B">
        <w:t xml:space="preserve">The </w:t>
      </w:r>
      <w:r w:rsidR="001E0427">
        <w:t>e-</w:t>
      </w:r>
      <w:r w:rsidR="006A487A">
        <w:t>P</w:t>
      </w:r>
      <w:r w:rsidRPr="00E17F7B">
        <w:t xml:space="preserve">ortfolio is a tool that </w:t>
      </w:r>
      <w:r w:rsidR="002F457E">
        <w:t xml:space="preserve">shows </w:t>
      </w:r>
      <w:r w:rsidRPr="00E17F7B">
        <w:t xml:space="preserve">a record of the </w:t>
      </w:r>
      <w:r w:rsidR="00157990">
        <w:t xml:space="preserve">student’s </w:t>
      </w:r>
      <w:r w:rsidRPr="00E17F7B">
        <w:t xml:space="preserve">performance at key moments throughout the year. </w:t>
      </w:r>
      <w:r w:rsidR="00A973C5">
        <w:t>Evidence could include</w:t>
      </w:r>
      <w:r w:rsidR="00BA4D00">
        <w:t>:</w:t>
      </w:r>
      <w:r w:rsidR="00A973C5">
        <w:t xml:space="preserve"> </w:t>
      </w:r>
      <w:r w:rsidR="00BA4D00">
        <w:t>record of participation in workshops</w:t>
      </w:r>
      <w:r w:rsidR="00537904">
        <w:t xml:space="preserve"> and contact sessions</w:t>
      </w:r>
      <w:r w:rsidR="00BA4D00">
        <w:t xml:space="preserve">, </w:t>
      </w:r>
      <w:r w:rsidR="00A973C5">
        <w:t xml:space="preserve">year plan, learning session plans, adaptations </w:t>
      </w:r>
      <w:r w:rsidR="00BA4D00">
        <w:t xml:space="preserve">of </w:t>
      </w:r>
      <w:r w:rsidR="00537904">
        <w:t xml:space="preserve">learning activities to </w:t>
      </w:r>
      <w:r w:rsidR="00BA4D00">
        <w:t>contextualise learning</w:t>
      </w:r>
      <w:r w:rsidR="00537904">
        <w:t xml:space="preserve"> and support learners</w:t>
      </w:r>
      <w:r w:rsidR="00A973C5">
        <w:t xml:space="preserve">, additional </w:t>
      </w:r>
      <w:r w:rsidR="00537904">
        <w:t>learning activities to support learner</w:t>
      </w:r>
      <w:r w:rsidR="00A973C5">
        <w:t xml:space="preserve">s, </w:t>
      </w:r>
      <w:r w:rsidR="00537904">
        <w:t xml:space="preserve">practice teaching </w:t>
      </w:r>
      <w:r w:rsidR="00A973C5">
        <w:t xml:space="preserve">reports, graded assessment tasks, feedback comments on assessment, reflections from the learning journal. </w:t>
      </w:r>
    </w:p>
    <w:p w:rsidR="00970AEE" w:rsidRPr="00BE1307" w:rsidRDefault="00970AEE" w:rsidP="00970AEE">
      <w:pPr>
        <w:pStyle w:val="Heading3"/>
        <w:rPr>
          <w:sz w:val="24"/>
          <w:szCs w:val="26"/>
        </w:rPr>
      </w:pPr>
      <w:r w:rsidRPr="00BE1307">
        <w:rPr>
          <w:sz w:val="24"/>
          <w:szCs w:val="26"/>
        </w:rPr>
        <w:t>Creating authentic experiences</w:t>
      </w:r>
    </w:p>
    <w:p w:rsidR="00291462" w:rsidRDefault="00970AEE" w:rsidP="00970AEE">
      <w:r>
        <w:t xml:space="preserve">By authentic learning experiences we mean experiences that have real-life meaning to students and learners. The focus is on providing students with </w:t>
      </w:r>
      <w:r w:rsidR="00291462">
        <w:t xml:space="preserve">new and </w:t>
      </w:r>
      <w:r>
        <w:t>diverse opportunities to learn to construct and verbalize patterns and sequences</w:t>
      </w:r>
      <w:r w:rsidR="00291462">
        <w:t xml:space="preserve"> that help </w:t>
      </w:r>
      <w:r w:rsidR="00754E7C">
        <w:t xml:space="preserve">them </w:t>
      </w:r>
      <w:r w:rsidR="00291462">
        <w:t xml:space="preserve">develop cognitive constructs and concepts. For example, </w:t>
      </w:r>
      <w:r w:rsidR="00754E7C">
        <w:t>in their teaching practice activities students will learn that the facilitation of a learning session requires attention to three interlinking phases: planning the learning session, facilitating learning, evaluating the learning session.</w:t>
      </w:r>
    </w:p>
    <w:p w:rsidR="00970AEE" w:rsidRPr="00BE1307" w:rsidRDefault="00754E7C" w:rsidP="00970AEE">
      <w:pPr>
        <w:pStyle w:val="Heading3"/>
        <w:rPr>
          <w:sz w:val="24"/>
          <w:szCs w:val="26"/>
        </w:rPr>
      </w:pPr>
      <w:r w:rsidRPr="00BE1307">
        <w:rPr>
          <w:sz w:val="24"/>
          <w:szCs w:val="26"/>
        </w:rPr>
        <w:lastRenderedPageBreak/>
        <w:t>Integrating vocabular</w:t>
      </w:r>
      <w:r w:rsidR="00970AEE" w:rsidRPr="00BE1307">
        <w:rPr>
          <w:sz w:val="24"/>
          <w:szCs w:val="26"/>
        </w:rPr>
        <w:t>y development</w:t>
      </w:r>
    </w:p>
    <w:p w:rsidR="00F3395A" w:rsidRDefault="00754E7C" w:rsidP="00F3395A">
      <w:pPr>
        <w:spacing w:after="120"/>
      </w:pPr>
      <w:r>
        <w:t>Various strategies are used to help students build and expand their vocabulary</w:t>
      </w:r>
      <w:r w:rsidR="00F336A1">
        <w:t>, e.g.</w:t>
      </w:r>
    </w:p>
    <w:p w:rsidR="00F3395A" w:rsidRDefault="00F3395A" w:rsidP="00F3395A">
      <w:pPr>
        <w:pStyle w:val="ListParagraph"/>
        <w:numPr>
          <w:ilvl w:val="0"/>
          <w:numId w:val="27"/>
        </w:numPr>
      </w:pPr>
      <w:r>
        <w:t>Words of key concepts and terms are introduced as parts of related systems and explanations are given to help students understand the</w:t>
      </w:r>
      <w:r w:rsidR="00F336A1">
        <w:t xml:space="preserve"> relationships among related words.</w:t>
      </w:r>
      <w:r>
        <w:t xml:space="preserve"> </w:t>
      </w:r>
    </w:p>
    <w:p w:rsidR="00F3395A" w:rsidRDefault="00F3395A" w:rsidP="00F3395A">
      <w:pPr>
        <w:pStyle w:val="ListParagraph"/>
        <w:numPr>
          <w:ilvl w:val="0"/>
          <w:numId w:val="27"/>
        </w:numPr>
      </w:pPr>
      <w:r>
        <w:t xml:space="preserve">Words of key concepts and terms are shown in context as the context defines their meaning. </w:t>
      </w:r>
    </w:p>
    <w:p w:rsidR="00F336A1" w:rsidRDefault="00F336A1" w:rsidP="00F3395A">
      <w:pPr>
        <w:pStyle w:val="ListParagraph"/>
        <w:numPr>
          <w:ilvl w:val="0"/>
          <w:numId w:val="27"/>
        </w:numPr>
      </w:pPr>
      <w:r>
        <w:t xml:space="preserve">Use is made of relevant visual representation of key concepts and terms. </w:t>
      </w:r>
    </w:p>
    <w:p w:rsidR="00970AEE" w:rsidRPr="00970AEE" w:rsidRDefault="00F336A1" w:rsidP="00F3395A">
      <w:pPr>
        <w:pStyle w:val="ListParagraph"/>
        <w:numPr>
          <w:ilvl w:val="0"/>
          <w:numId w:val="27"/>
        </w:numPr>
      </w:pPr>
      <w:r>
        <w:t xml:space="preserve">Students are encouraged to use new words in different ways. </w:t>
      </w:r>
    </w:p>
    <w:p w:rsidR="00754E7C" w:rsidRPr="00BE1307" w:rsidRDefault="00970AEE" w:rsidP="00970AEE">
      <w:pPr>
        <w:pStyle w:val="Heading3"/>
        <w:rPr>
          <w:sz w:val="24"/>
          <w:szCs w:val="26"/>
        </w:rPr>
      </w:pPr>
      <w:r w:rsidRPr="00BE1307">
        <w:rPr>
          <w:sz w:val="24"/>
          <w:szCs w:val="26"/>
        </w:rPr>
        <w:t>Creating opportunities for self-expression</w:t>
      </w:r>
    </w:p>
    <w:p w:rsidR="00970AEE" w:rsidRPr="00754E7C" w:rsidRDefault="00F336A1" w:rsidP="00754E7C">
      <w:r>
        <w:t>Self-expression is an essential part of the learning process as it encourages students to practice their verbal skills and gives them an opportunity to define and refine their ideas. Students give expression to their ideas in a variety of ways: learning activities stimulate engagement with relevant resources and nudge students to formulate written and signed responses; shar</w:t>
      </w:r>
      <w:r w:rsidR="005C1EB2">
        <w:t xml:space="preserve">ing </w:t>
      </w:r>
      <w:r>
        <w:t>ideas with peers in forum discussions and team activities</w:t>
      </w:r>
      <w:r w:rsidR="005C1EB2">
        <w:t xml:space="preserve">; giving expression to ideas in presentations; teaching practice activities. </w:t>
      </w:r>
    </w:p>
    <w:p w:rsidR="00970AEE" w:rsidRPr="00BE1307" w:rsidRDefault="00970AEE" w:rsidP="00970AEE">
      <w:pPr>
        <w:pStyle w:val="Heading3"/>
        <w:rPr>
          <w:sz w:val="24"/>
          <w:szCs w:val="26"/>
        </w:rPr>
      </w:pPr>
      <w:r w:rsidRPr="00BE1307">
        <w:rPr>
          <w:sz w:val="24"/>
          <w:szCs w:val="26"/>
        </w:rPr>
        <w:t xml:space="preserve">Providing Deaf role models </w:t>
      </w:r>
    </w:p>
    <w:p w:rsidR="00970AEE" w:rsidRDefault="005C1EB2" w:rsidP="00581A0A">
      <w:r>
        <w:t xml:space="preserve">Role models present students with positive images of what they can achieve and how they can go about achieving success. At crucial points in the Programme students are introduced to Deaf teacher education and training role models to inspire and motivate them. </w:t>
      </w:r>
    </w:p>
    <w:p w:rsidR="003B0758" w:rsidRDefault="003E3159" w:rsidP="003E3159">
      <w:pPr>
        <w:pStyle w:val="Heading1"/>
        <w:spacing w:before="360" w:after="240"/>
      </w:pPr>
      <w:r>
        <w:t>Programme Structure</w:t>
      </w:r>
    </w:p>
    <w:p w:rsidR="00D36701" w:rsidRDefault="003B0758" w:rsidP="003B0758">
      <w:pPr>
        <w:rPr>
          <w:lang w:val="en-GB"/>
        </w:rPr>
      </w:pPr>
      <w:r w:rsidRPr="003B0758">
        <w:rPr>
          <w:lang w:val="en-GB"/>
        </w:rPr>
        <w:t xml:space="preserve">The Higher Certificate </w:t>
      </w:r>
      <w:r>
        <w:rPr>
          <w:lang w:val="en-GB"/>
        </w:rPr>
        <w:t xml:space="preserve">(Education) </w:t>
      </w:r>
      <w:r w:rsidRPr="003B0758">
        <w:rPr>
          <w:lang w:val="en-GB"/>
        </w:rPr>
        <w:t>comprises</w:t>
      </w:r>
      <w:r>
        <w:rPr>
          <w:lang w:val="en-GB"/>
        </w:rPr>
        <w:t xml:space="preserve"> </w:t>
      </w:r>
      <w:r>
        <w:t xml:space="preserve">8 fundamental modules, which are compulsory. The NQF Level 5 modules are each </w:t>
      </w:r>
      <w:r w:rsidR="00DA43E5">
        <w:t>allocated</w:t>
      </w:r>
      <w:r>
        <w:t xml:space="preserve"> 15 credits and have a combined total of 120 credits</w:t>
      </w:r>
      <w:r w:rsidR="00D36701">
        <w:rPr>
          <w:lang w:val="en-GB"/>
        </w:rPr>
        <w:t>.</w:t>
      </w:r>
    </w:p>
    <w:p w:rsidR="00614E1B" w:rsidRPr="00BE1307" w:rsidRDefault="00537904" w:rsidP="003B0758">
      <w:pPr>
        <w:pStyle w:val="Heading3"/>
        <w:rPr>
          <w:sz w:val="24"/>
          <w:szCs w:val="26"/>
        </w:rPr>
      </w:pPr>
      <w:r w:rsidRPr="00BE1307">
        <w:rPr>
          <w:sz w:val="24"/>
          <w:szCs w:val="26"/>
        </w:rPr>
        <w:t>Overview of Modules</w:t>
      </w:r>
    </w:p>
    <w:p w:rsidR="008F54A0" w:rsidRDefault="004F7716" w:rsidP="00614E1B">
      <w:r>
        <w:t>Module 2 is a cross</w:t>
      </w:r>
      <w:r w:rsidR="00C71932">
        <w:t xml:space="preserve"> cutting module that </w:t>
      </w:r>
      <w:r>
        <w:t>provides guidelines for the teaching practice sessions that run throughout the programme.</w:t>
      </w:r>
    </w:p>
    <w:p w:rsidR="008F54A0" w:rsidRDefault="008F54A0">
      <w:r>
        <w:br w:type="page"/>
      </w:r>
    </w:p>
    <w:p w:rsidR="00614E1B" w:rsidRDefault="004F7716" w:rsidP="00614E1B">
      <w:r>
        <w:lastRenderedPageBreak/>
        <w:t xml:space="preserve"> </w:t>
      </w:r>
    </w:p>
    <w:p w:rsidR="00614E1B" w:rsidRDefault="00252576" w:rsidP="00614E1B">
      <w:r>
        <w:rPr>
          <w:noProof/>
          <w:lang w:val="en-US" w:eastAsia="en-US"/>
        </w:rPr>
        <w:drawing>
          <wp:anchor distT="0" distB="0" distL="114300" distR="114300" simplePos="0" relativeHeight="251676672" behindDoc="0" locked="0" layoutInCell="1" allowOverlap="1">
            <wp:simplePos x="0" y="0"/>
            <wp:positionH relativeFrom="column">
              <wp:posOffset>457200</wp:posOffset>
            </wp:positionH>
            <wp:positionV relativeFrom="paragraph">
              <wp:posOffset>-3175</wp:posOffset>
            </wp:positionV>
            <wp:extent cx="4234180" cy="3310255"/>
            <wp:effectExtent l="25400" t="0" r="7620" b="0"/>
            <wp:wrapTight wrapText="bothSides">
              <wp:wrapPolygon edited="0">
                <wp:start x="-130" y="0"/>
                <wp:lineTo x="-130" y="21546"/>
                <wp:lineTo x="21639" y="21546"/>
                <wp:lineTo x="21639" y="0"/>
                <wp:lineTo x="-130"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234180" cy="3310255"/>
                    </a:xfrm>
                    <a:prstGeom prst="rect">
                      <a:avLst/>
                    </a:prstGeom>
                    <a:noFill/>
                    <a:ln w="9525">
                      <a:noFill/>
                      <a:miter lim="800000"/>
                      <a:headEnd/>
                      <a:tailEnd/>
                    </a:ln>
                  </pic:spPr>
                </pic:pic>
              </a:graphicData>
            </a:graphic>
          </wp:anchor>
        </w:drawing>
      </w:r>
    </w:p>
    <w:p w:rsidR="00614E1B" w:rsidRDefault="00614E1B" w:rsidP="00614E1B"/>
    <w:p w:rsidR="00614E1B" w:rsidRDefault="00614E1B" w:rsidP="00614E1B"/>
    <w:p w:rsidR="00614E1B" w:rsidRDefault="00614E1B" w:rsidP="00614E1B"/>
    <w:p w:rsidR="00614E1B" w:rsidRDefault="00614E1B" w:rsidP="00614E1B"/>
    <w:p w:rsidR="00614E1B" w:rsidRDefault="00614E1B" w:rsidP="00614E1B"/>
    <w:p w:rsidR="00614E1B" w:rsidRDefault="00614E1B" w:rsidP="00614E1B"/>
    <w:p w:rsidR="00D36701" w:rsidRDefault="00D36701" w:rsidP="00D36701">
      <w:pPr>
        <w:rPr>
          <w:sz w:val="18"/>
        </w:rPr>
      </w:pPr>
    </w:p>
    <w:p w:rsidR="00252576" w:rsidRDefault="00252576" w:rsidP="00D36701">
      <w:pPr>
        <w:rPr>
          <w:sz w:val="18"/>
        </w:rPr>
      </w:pPr>
    </w:p>
    <w:p w:rsidR="00252576" w:rsidRDefault="00252576" w:rsidP="00D36701">
      <w:pPr>
        <w:rPr>
          <w:sz w:val="18"/>
        </w:rPr>
      </w:pPr>
    </w:p>
    <w:p w:rsidR="00D36701" w:rsidRDefault="00D36701" w:rsidP="00D36701">
      <w:pPr>
        <w:rPr>
          <w:sz w:val="18"/>
        </w:rPr>
      </w:pPr>
    </w:p>
    <w:p w:rsidR="00252576" w:rsidRDefault="009C6E60" w:rsidP="0017755C">
      <w:pPr>
        <w:rPr>
          <w:sz w:val="18"/>
        </w:rPr>
      </w:pPr>
      <w:r>
        <w:rPr>
          <w:sz w:val="18"/>
        </w:rPr>
        <w:t>Diagram 3</w:t>
      </w:r>
      <w:r w:rsidR="00457789" w:rsidRPr="00D36701">
        <w:rPr>
          <w:sz w:val="18"/>
        </w:rPr>
        <w:t xml:space="preserve">: Overview of modules </w:t>
      </w:r>
    </w:p>
    <w:p w:rsidR="00D36701" w:rsidRPr="00D36701" w:rsidRDefault="00D36701" w:rsidP="0017755C">
      <w:pPr>
        <w:rPr>
          <w:sz w:val="18"/>
        </w:rPr>
      </w:pPr>
    </w:p>
    <w:p w:rsidR="00537904" w:rsidRDefault="005054C8" w:rsidP="00474D52">
      <w:r>
        <w:t xml:space="preserve">The following table </w:t>
      </w:r>
      <w:r w:rsidR="003B0758">
        <w:t xml:space="preserve">shows the focus of each of the </w:t>
      </w:r>
      <w:r>
        <w:t xml:space="preserve">8 modules. </w:t>
      </w:r>
    </w:p>
    <w:tbl>
      <w:tblPr>
        <w:tblStyle w:val="TableGrid"/>
        <w:tblW w:w="0" w:type="auto"/>
        <w:tblLook w:val="00A0" w:firstRow="1" w:lastRow="0" w:firstColumn="1" w:lastColumn="0" w:noHBand="0" w:noVBand="0"/>
      </w:tblPr>
      <w:tblGrid>
        <w:gridCol w:w="2802"/>
        <w:gridCol w:w="6440"/>
      </w:tblGrid>
      <w:tr w:rsidR="005054C8">
        <w:trPr>
          <w:tblHeader/>
        </w:trPr>
        <w:tc>
          <w:tcPr>
            <w:tcW w:w="2802" w:type="dxa"/>
            <w:shd w:val="clear" w:color="auto" w:fill="C2D69B" w:themeFill="accent3" w:themeFillTint="99"/>
          </w:tcPr>
          <w:p w:rsidR="005054C8" w:rsidRPr="005054C8" w:rsidRDefault="005054C8" w:rsidP="003B0758">
            <w:pPr>
              <w:spacing w:before="120" w:after="120"/>
              <w:rPr>
                <w:rFonts w:asciiTheme="minorHAnsi" w:hAnsiTheme="minorHAnsi"/>
                <w:b/>
                <w:sz w:val="22"/>
              </w:rPr>
            </w:pPr>
            <w:r>
              <w:rPr>
                <w:rStyle w:val="FootnoteReference"/>
                <w:rFonts w:asciiTheme="minorHAnsi" w:hAnsiTheme="minorHAnsi"/>
                <w:b/>
                <w:sz w:val="22"/>
              </w:rPr>
              <w:footnoteReference w:id="7"/>
            </w:r>
            <w:r w:rsidRPr="005054C8">
              <w:rPr>
                <w:rFonts w:asciiTheme="minorHAnsi" w:hAnsiTheme="minorHAnsi"/>
                <w:b/>
                <w:sz w:val="22"/>
              </w:rPr>
              <w:t xml:space="preserve">Module Title </w:t>
            </w:r>
          </w:p>
        </w:tc>
        <w:tc>
          <w:tcPr>
            <w:tcW w:w="6440" w:type="dxa"/>
            <w:shd w:val="clear" w:color="auto" w:fill="C2D69B" w:themeFill="accent3" w:themeFillTint="99"/>
          </w:tcPr>
          <w:p w:rsidR="005054C8" w:rsidRPr="005054C8" w:rsidRDefault="005054C8" w:rsidP="003B0758">
            <w:pPr>
              <w:spacing w:before="120" w:after="120"/>
              <w:rPr>
                <w:rFonts w:asciiTheme="minorHAnsi" w:hAnsiTheme="minorHAnsi"/>
                <w:b/>
                <w:sz w:val="22"/>
              </w:rPr>
            </w:pPr>
            <w:r>
              <w:rPr>
                <w:rFonts w:asciiTheme="minorHAnsi" w:hAnsiTheme="minorHAnsi"/>
                <w:b/>
                <w:sz w:val="22"/>
              </w:rPr>
              <w:t>Focus of the module.</w:t>
            </w:r>
          </w:p>
        </w:tc>
      </w:tr>
      <w:tr w:rsidR="005054C8">
        <w:tc>
          <w:tcPr>
            <w:tcW w:w="2802" w:type="dxa"/>
          </w:tcPr>
          <w:p w:rsidR="005054C8" w:rsidRPr="005054C8" w:rsidRDefault="005054C8" w:rsidP="006D1280">
            <w:pPr>
              <w:pStyle w:val="ListParagraph"/>
              <w:numPr>
                <w:ilvl w:val="0"/>
                <w:numId w:val="16"/>
              </w:numPr>
              <w:jc w:val="left"/>
              <w:rPr>
                <w:rFonts w:asciiTheme="minorHAnsi" w:hAnsiTheme="minorHAnsi"/>
                <w:sz w:val="20"/>
              </w:rPr>
            </w:pPr>
            <w:r w:rsidRPr="005054C8">
              <w:rPr>
                <w:rFonts w:asciiTheme="minorHAnsi" w:hAnsiTheme="minorHAnsi" w:cs="Arial"/>
                <w:sz w:val="20"/>
              </w:rPr>
              <w:t>U</w:t>
            </w:r>
            <w:r w:rsidR="00457789">
              <w:rPr>
                <w:rFonts w:asciiTheme="minorHAnsi" w:hAnsiTheme="minorHAnsi" w:cs="Arial"/>
                <w:sz w:val="20"/>
              </w:rPr>
              <w:t>nderstanding the N</w:t>
            </w:r>
            <w:r w:rsidR="003B0758">
              <w:rPr>
                <w:rFonts w:asciiTheme="minorHAnsi" w:hAnsiTheme="minorHAnsi" w:cs="Arial"/>
                <w:sz w:val="20"/>
              </w:rPr>
              <w:t xml:space="preserve">eeds of Deaf </w:t>
            </w:r>
            <w:r w:rsidR="006D1280">
              <w:rPr>
                <w:rFonts w:asciiTheme="minorHAnsi" w:hAnsiTheme="minorHAnsi" w:cs="Arial"/>
                <w:sz w:val="20"/>
              </w:rPr>
              <w:t>Learners.</w:t>
            </w:r>
          </w:p>
        </w:tc>
        <w:tc>
          <w:tcPr>
            <w:tcW w:w="6440" w:type="dxa"/>
          </w:tcPr>
          <w:p w:rsidR="005054C8" w:rsidRPr="003B0758" w:rsidRDefault="003B0758" w:rsidP="003B0758">
            <w:pPr>
              <w:jc w:val="left"/>
              <w:rPr>
                <w:rFonts w:asciiTheme="minorHAnsi" w:hAnsiTheme="minorHAnsi"/>
                <w:sz w:val="20"/>
                <w:lang w:val="en-GB"/>
              </w:rPr>
            </w:pPr>
            <w:r>
              <w:rPr>
                <w:rFonts w:asciiTheme="minorHAnsi" w:hAnsiTheme="minorHAnsi"/>
                <w:sz w:val="20"/>
                <w:lang w:val="en-GB"/>
              </w:rPr>
              <w:t>Th</w:t>
            </w:r>
            <w:r w:rsidRPr="003B0758">
              <w:rPr>
                <w:rFonts w:asciiTheme="minorHAnsi" w:hAnsiTheme="minorHAnsi"/>
                <w:sz w:val="20"/>
                <w:lang w:val="en-GB"/>
              </w:rPr>
              <w:t>is module includes an orientation to Deaf culture, Deaf identity, medical issues, understanding the psychosocial impact on language development, the politics of Deafness, other challenges such as dyslexia, emotional barriers etc.</w:t>
            </w:r>
          </w:p>
        </w:tc>
      </w:tr>
      <w:tr w:rsidR="005054C8">
        <w:tc>
          <w:tcPr>
            <w:tcW w:w="2802" w:type="dxa"/>
          </w:tcPr>
          <w:p w:rsidR="005054C8" w:rsidRPr="005054C8" w:rsidRDefault="00457789" w:rsidP="003B0758">
            <w:pPr>
              <w:pStyle w:val="ListParagraph"/>
              <w:numPr>
                <w:ilvl w:val="0"/>
                <w:numId w:val="16"/>
              </w:numPr>
              <w:jc w:val="left"/>
              <w:rPr>
                <w:rFonts w:asciiTheme="minorHAnsi" w:hAnsiTheme="minorHAnsi"/>
                <w:sz w:val="20"/>
              </w:rPr>
            </w:pPr>
            <w:r>
              <w:rPr>
                <w:rFonts w:asciiTheme="minorHAnsi" w:hAnsiTheme="minorHAnsi" w:cs="Arial"/>
                <w:sz w:val="20"/>
              </w:rPr>
              <w:t>Teaching P</w:t>
            </w:r>
            <w:r w:rsidR="005054C8" w:rsidRPr="005054C8">
              <w:rPr>
                <w:rFonts w:asciiTheme="minorHAnsi" w:hAnsiTheme="minorHAnsi" w:cs="Arial"/>
                <w:sz w:val="20"/>
              </w:rPr>
              <w:t>ractice</w:t>
            </w:r>
            <w:r w:rsidR="003B0758">
              <w:rPr>
                <w:rFonts w:asciiTheme="minorHAnsi" w:hAnsiTheme="minorHAnsi" w:cs="Arial"/>
                <w:sz w:val="20"/>
              </w:rPr>
              <w:t>.</w:t>
            </w:r>
            <w:r w:rsidR="005054C8" w:rsidRPr="005054C8">
              <w:rPr>
                <w:rFonts w:asciiTheme="minorHAnsi" w:hAnsiTheme="minorHAnsi" w:cs="Arial"/>
                <w:sz w:val="20"/>
              </w:rPr>
              <w:t xml:space="preserve"> </w:t>
            </w:r>
          </w:p>
        </w:tc>
        <w:tc>
          <w:tcPr>
            <w:tcW w:w="6440" w:type="dxa"/>
          </w:tcPr>
          <w:p w:rsidR="005054C8" w:rsidRPr="003B0758" w:rsidRDefault="003B0758" w:rsidP="006D1280">
            <w:pPr>
              <w:jc w:val="left"/>
              <w:rPr>
                <w:rFonts w:asciiTheme="minorHAnsi" w:hAnsiTheme="minorHAnsi"/>
                <w:sz w:val="20"/>
                <w:lang w:val="en-GB"/>
              </w:rPr>
            </w:pPr>
            <w:r>
              <w:rPr>
                <w:rFonts w:asciiTheme="minorHAnsi" w:hAnsiTheme="minorHAnsi"/>
                <w:sz w:val="20"/>
                <w:lang w:val="en-GB"/>
              </w:rPr>
              <w:t>T</w:t>
            </w:r>
            <w:r w:rsidRPr="003B0758">
              <w:rPr>
                <w:rFonts w:asciiTheme="minorHAnsi" w:hAnsiTheme="minorHAnsi"/>
                <w:sz w:val="20"/>
                <w:lang w:val="en-GB"/>
              </w:rPr>
              <w:t xml:space="preserve">his module provides guidelines for the teaching practice sessions that </w:t>
            </w:r>
            <w:r w:rsidR="00637B52">
              <w:rPr>
                <w:rFonts w:asciiTheme="minorHAnsi" w:hAnsiTheme="minorHAnsi"/>
                <w:sz w:val="20"/>
                <w:lang w:val="en-GB"/>
              </w:rPr>
              <w:t>run throughout the programme. I</w:t>
            </w:r>
            <w:r w:rsidRPr="003B0758">
              <w:rPr>
                <w:rFonts w:asciiTheme="minorHAnsi" w:hAnsiTheme="minorHAnsi"/>
                <w:sz w:val="20"/>
                <w:lang w:val="en-GB"/>
              </w:rPr>
              <w:t xml:space="preserve">t also includes guidelines towards the </w:t>
            </w:r>
            <w:r w:rsidR="00404B7A">
              <w:rPr>
                <w:rFonts w:asciiTheme="minorHAnsi" w:hAnsiTheme="minorHAnsi"/>
                <w:sz w:val="20"/>
                <w:lang w:val="en-GB"/>
              </w:rPr>
              <w:t>development of a professional e</w:t>
            </w:r>
            <w:r w:rsidR="006A487A">
              <w:rPr>
                <w:rFonts w:asciiTheme="minorHAnsi" w:hAnsiTheme="minorHAnsi"/>
                <w:sz w:val="20"/>
                <w:lang w:val="en-GB"/>
              </w:rPr>
              <w:t>-</w:t>
            </w:r>
            <w:r w:rsidR="00404B7A">
              <w:rPr>
                <w:rFonts w:asciiTheme="minorHAnsi" w:hAnsiTheme="minorHAnsi"/>
                <w:sz w:val="20"/>
                <w:lang w:val="en-GB"/>
              </w:rPr>
              <w:t>P</w:t>
            </w:r>
            <w:r w:rsidRPr="003B0758">
              <w:rPr>
                <w:rFonts w:asciiTheme="minorHAnsi" w:hAnsiTheme="minorHAnsi"/>
                <w:sz w:val="20"/>
                <w:lang w:val="en-GB"/>
              </w:rPr>
              <w:t xml:space="preserve">ortfolio of evidence of </w:t>
            </w:r>
            <w:r>
              <w:rPr>
                <w:rFonts w:asciiTheme="minorHAnsi" w:hAnsiTheme="minorHAnsi"/>
                <w:sz w:val="20"/>
                <w:lang w:val="en-GB"/>
              </w:rPr>
              <w:t xml:space="preserve">the student’s </w:t>
            </w:r>
            <w:r w:rsidRPr="003B0758">
              <w:rPr>
                <w:rFonts w:asciiTheme="minorHAnsi" w:hAnsiTheme="minorHAnsi"/>
                <w:sz w:val="20"/>
                <w:lang w:val="en-GB"/>
              </w:rPr>
              <w:t>growing competence as an educator</w:t>
            </w:r>
            <w:r>
              <w:rPr>
                <w:rFonts w:asciiTheme="minorHAnsi" w:hAnsiTheme="minorHAnsi"/>
                <w:sz w:val="20"/>
                <w:lang w:val="en-GB"/>
              </w:rPr>
              <w:t>.</w:t>
            </w:r>
          </w:p>
        </w:tc>
      </w:tr>
      <w:tr w:rsidR="005054C8">
        <w:tc>
          <w:tcPr>
            <w:tcW w:w="2802" w:type="dxa"/>
          </w:tcPr>
          <w:p w:rsidR="005054C8" w:rsidRPr="005054C8" w:rsidRDefault="00457789" w:rsidP="003B0758">
            <w:pPr>
              <w:pStyle w:val="ListParagraph"/>
              <w:numPr>
                <w:ilvl w:val="0"/>
                <w:numId w:val="16"/>
              </w:numPr>
              <w:jc w:val="left"/>
              <w:rPr>
                <w:rFonts w:asciiTheme="minorHAnsi" w:hAnsiTheme="minorHAnsi"/>
                <w:sz w:val="20"/>
              </w:rPr>
            </w:pPr>
            <w:r>
              <w:rPr>
                <w:rFonts w:asciiTheme="minorHAnsi" w:hAnsiTheme="minorHAnsi" w:cs="Arial"/>
                <w:sz w:val="20"/>
              </w:rPr>
              <w:t>Language across the C</w:t>
            </w:r>
            <w:r w:rsidR="005054C8" w:rsidRPr="005054C8">
              <w:rPr>
                <w:rFonts w:asciiTheme="minorHAnsi" w:hAnsiTheme="minorHAnsi" w:cs="Arial"/>
                <w:sz w:val="20"/>
              </w:rPr>
              <w:t>urriculum</w:t>
            </w:r>
            <w:r w:rsidR="003B0758">
              <w:rPr>
                <w:rFonts w:asciiTheme="minorHAnsi" w:hAnsiTheme="minorHAnsi" w:cs="Arial"/>
                <w:sz w:val="20"/>
              </w:rPr>
              <w:t>.</w:t>
            </w:r>
          </w:p>
        </w:tc>
        <w:tc>
          <w:tcPr>
            <w:tcW w:w="6440" w:type="dxa"/>
          </w:tcPr>
          <w:p w:rsidR="005054C8" w:rsidRPr="003B0758" w:rsidRDefault="003B0758" w:rsidP="00485B0A">
            <w:pPr>
              <w:jc w:val="left"/>
              <w:rPr>
                <w:rFonts w:asciiTheme="minorHAnsi" w:hAnsiTheme="minorHAnsi"/>
                <w:sz w:val="20"/>
                <w:lang w:val="en-GB"/>
              </w:rPr>
            </w:pPr>
            <w:r>
              <w:rPr>
                <w:rFonts w:asciiTheme="minorHAnsi" w:hAnsiTheme="minorHAnsi"/>
                <w:sz w:val="20"/>
                <w:lang w:val="en-GB"/>
              </w:rPr>
              <w:t>Th</w:t>
            </w:r>
            <w:r w:rsidRPr="003B0758">
              <w:rPr>
                <w:rFonts w:asciiTheme="minorHAnsi" w:hAnsiTheme="minorHAnsi"/>
                <w:sz w:val="20"/>
                <w:lang w:val="en-GB"/>
              </w:rPr>
              <w:t>is module explores the role that language development plays in learning achievement acros</w:t>
            </w:r>
            <w:r w:rsidR="00637B52">
              <w:rPr>
                <w:rFonts w:asciiTheme="minorHAnsi" w:hAnsiTheme="minorHAnsi"/>
                <w:sz w:val="20"/>
                <w:lang w:val="en-GB"/>
              </w:rPr>
              <w:t>s the curriculum. I</w:t>
            </w:r>
            <w:r w:rsidRPr="003B0758">
              <w:rPr>
                <w:rFonts w:asciiTheme="minorHAnsi" w:hAnsiTheme="minorHAnsi"/>
                <w:sz w:val="20"/>
                <w:lang w:val="en-GB"/>
              </w:rPr>
              <w:t>t provide</w:t>
            </w:r>
            <w:r w:rsidR="00485B0A">
              <w:rPr>
                <w:rFonts w:asciiTheme="minorHAnsi" w:hAnsiTheme="minorHAnsi"/>
                <w:sz w:val="20"/>
                <w:lang w:val="en-GB"/>
              </w:rPr>
              <w:t>s</w:t>
            </w:r>
            <w:r w:rsidRPr="003B0758">
              <w:rPr>
                <w:rFonts w:asciiTheme="minorHAnsi" w:hAnsiTheme="minorHAnsi"/>
                <w:sz w:val="20"/>
                <w:lang w:val="en-GB"/>
              </w:rPr>
              <w:t xml:space="preserve"> opportunities for </w:t>
            </w:r>
            <w:r>
              <w:rPr>
                <w:rFonts w:asciiTheme="minorHAnsi" w:hAnsiTheme="minorHAnsi"/>
                <w:sz w:val="20"/>
                <w:lang w:val="en-GB"/>
              </w:rPr>
              <w:t xml:space="preserve">students </w:t>
            </w:r>
            <w:r w:rsidRPr="003B0758">
              <w:rPr>
                <w:rFonts w:asciiTheme="minorHAnsi" w:hAnsiTheme="minorHAnsi"/>
                <w:sz w:val="20"/>
                <w:lang w:val="en-GB"/>
              </w:rPr>
              <w:t xml:space="preserve">to develop </w:t>
            </w:r>
            <w:r>
              <w:rPr>
                <w:rFonts w:asciiTheme="minorHAnsi" w:hAnsiTheme="minorHAnsi"/>
                <w:sz w:val="20"/>
                <w:lang w:val="en-GB"/>
              </w:rPr>
              <w:t xml:space="preserve">their </w:t>
            </w:r>
            <w:r w:rsidRPr="003B0758">
              <w:rPr>
                <w:rFonts w:asciiTheme="minorHAnsi" w:hAnsiTheme="minorHAnsi"/>
                <w:sz w:val="20"/>
                <w:lang w:val="en-GB"/>
              </w:rPr>
              <w:t>own written English</w:t>
            </w:r>
            <w:r w:rsidR="00485B0A">
              <w:rPr>
                <w:rFonts w:asciiTheme="minorHAnsi" w:hAnsiTheme="minorHAnsi"/>
                <w:sz w:val="20"/>
                <w:lang w:val="en-GB"/>
              </w:rPr>
              <w:t xml:space="preserve"> + Sign L</w:t>
            </w:r>
            <w:r w:rsidRPr="003B0758">
              <w:rPr>
                <w:rFonts w:asciiTheme="minorHAnsi" w:hAnsiTheme="minorHAnsi"/>
                <w:sz w:val="20"/>
                <w:lang w:val="en-GB"/>
              </w:rPr>
              <w:t xml:space="preserve">anguage skills and those of </w:t>
            </w:r>
            <w:r>
              <w:rPr>
                <w:rFonts w:asciiTheme="minorHAnsi" w:hAnsiTheme="minorHAnsi"/>
                <w:sz w:val="20"/>
                <w:lang w:val="en-GB"/>
              </w:rPr>
              <w:t>their learners</w:t>
            </w:r>
            <w:r w:rsidRPr="003B0758">
              <w:rPr>
                <w:rFonts w:asciiTheme="minorHAnsi" w:hAnsiTheme="minorHAnsi"/>
                <w:sz w:val="20"/>
                <w:lang w:val="en-GB"/>
              </w:rPr>
              <w:t>, and to better understand how these two languages can support one another to aid meaningful learning</w:t>
            </w:r>
            <w:r>
              <w:rPr>
                <w:rFonts w:asciiTheme="minorHAnsi" w:hAnsiTheme="minorHAnsi"/>
                <w:sz w:val="20"/>
                <w:lang w:val="en-GB"/>
              </w:rPr>
              <w:t>.</w:t>
            </w:r>
          </w:p>
        </w:tc>
      </w:tr>
      <w:tr w:rsidR="005054C8">
        <w:tc>
          <w:tcPr>
            <w:tcW w:w="2802" w:type="dxa"/>
          </w:tcPr>
          <w:p w:rsidR="005054C8" w:rsidRPr="005054C8" w:rsidRDefault="00457789" w:rsidP="00B45597">
            <w:pPr>
              <w:pStyle w:val="ListParagraph"/>
              <w:numPr>
                <w:ilvl w:val="0"/>
                <w:numId w:val="16"/>
              </w:numPr>
              <w:jc w:val="left"/>
              <w:rPr>
                <w:rFonts w:asciiTheme="minorHAnsi" w:hAnsiTheme="minorHAnsi"/>
                <w:sz w:val="20"/>
              </w:rPr>
            </w:pPr>
            <w:r>
              <w:rPr>
                <w:rFonts w:asciiTheme="minorHAnsi" w:hAnsiTheme="minorHAnsi" w:cs="Arial"/>
                <w:sz w:val="20"/>
              </w:rPr>
              <w:t>Being a T</w:t>
            </w:r>
            <w:r w:rsidR="005054C8" w:rsidRPr="005054C8">
              <w:rPr>
                <w:rFonts w:asciiTheme="minorHAnsi" w:hAnsiTheme="minorHAnsi" w:cs="Arial"/>
                <w:sz w:val="20"/>
              </w:rPr>
              <w:t>eacher of the Deaf</w:t>
            </w:r>
            <w:r w:rsidR="003B0758">
              <w:rPr>
                <w:rFonts w:asciiTheme="minorHAnsi" w:hAnsiTheme="minorHAnsi" w:cs="Arial"/>
                <w:sz w:val="20"/>
              </w:rPr>
              <w:t xml:space="preserve"> and </w:t>
            </w:r>
            <w:r w:rsidR="006A487A">
              <w:rPr>
                <w:rFonts w:asciiTheme="minorHAnsi" w:hAnsiTheme="minorHAnsi" w:cs="Arial"/>
                <w:sz w:val="20"/>
              </w:rPr>
              <w:t>Persons with</w:t>
            </w:r>
            <w:r w:rsidR="00B45597">
              <w:rPr>
                <w:rFonts w:asciiTheme="minorHAnsi" w:hAnsiTheme="minorHAnsi" w:cs="Arial"/>
                <w:sz w:val="20"/>
              </w:rPr>
              <w:t xml:space="preserve"> hearing loss</w:t>
            </w:r>
            <w:r w:rsidR="006A487A">
              <w:rPr>
                <w:rFonts w:asciiTheme="minorHAnsi" w:hAnsiTheme="minorHAnsi" w:cs="Arial"/>
                <w:sz w:val="20"/>
              </w:rPr>
              <w:t xml:space="preserve">. </w:t>
            </w:r>
          </w:p>
        </w:tc>
        <w:tc>
          <w:tcPr>
            <w:tcW w:w="6440" w:type="dxa"/>
          </w:tcPr>
          <w:p w:rsidR="005054C8" w:rsidRPr="00637B52" w:rsidRDefault="00637B52" w:rsidP="006D1280">
            <w:pPr>
              <w:jc w:val="left"/>
              <w:rPr>
                <w:rFonts w:asciiTheme="minorHAnsi" w:hAnsiTheme="minorHAnsi"/>
                <w:sz w:val="20"/>
                <w:lang w:val="en-GB"/>
              </w:rPr>
            </w:pPr>
            <w:r>
              <w:rPr>
                <w:rFonts w:asciiTheme="minorHAnsi" w:hAnsiTheme="minorHAnsi"/>
                <w:sz w:val="20"/>
                <w:lang w:val="en-GB"/>
              </w:rPr>
              <w:t xml:space="preserve">This </w:t>
            </w:r>
            <w:r w:rsidR="003B0758" w:rsidRPr="003B0758">
              <w:rPr>
                <w:rFonts w:asciiTheme="minorHAnsi" w:hAnsiTheme="minorHAnsi"/>
                <w:sz w:val="20"/>
                <w:lang w:val="en-GB"/>
              </w:rPr>
              <w:t>module address</w:t>
            </w:r>
            <w:r w:rsidR="006D1280">
              <w:rPr>
                <w:rFonts w:asciiTheme="minorHAnsi" w:hAnsiTheme="minorHAnsi"/>
                <w:sz w:val="20"/>
                <w:lang w:val="en-GB"/>
              </w:rPr>
              <w:t>es</w:t>
            </w:r>
            <w:r w:rsidR="003B0758" w:rsidRPr="003B0758">
              <w:rPr>
                <w:rFonts w:asciiTheme="minorHAnsi" w:hAnsiTheme="minorHAnsi"/>
                <w:sz w:val="20"/>
                <w:lang w:val="en-GB"/>
              </w:rPr>
              <w:t xml:space="preserve"> questions like what do I n</w:t>
            </w:r>
            <w:r>
              <w:rPr>
                <w:rFonts w:asciiTheme="minorHAnsi" w:hAnsiTheme="minorHAnsi"/>
                <w:sz w:val="20"/>
                <w:lang w:val="en-GB"/>
              </w:rPr>
              <w:t>eed to know and be able to do? W</w:t>
            </w:r>
            <w:r w:rsidR="003B0758" w:rsidRPr="003B0758">
              <w:rPr>
                <w:rFonts w:asciiTheme="minorHAnsi" w:hAnsiTheme="minorHAnsi"/>
                <w:sz w:val="20"/>
                <w:lang w:val="en-GB"/>
              </w:rPr>
              <w:t>hy am I teaching in this context? It will explore professional ethics; implications of the inclusion agenda; and the educator’s integrated roles of know</w:t>
            </w:r>
            <w:r>
              <w:rPr>
                <w:rFonts w:asciiTheme="minorHAnsi" w:hAnsiTheme="minorHAnsi"/>
                <w:sz w:val="20"/>
                <w:lang w:val="en-GB"/>
              </w:rPr>
              <w:t xml:space="preserve">ledge worker, manager and carer. </w:t>
            </w:r>
          </w:p>
        </w:tc>
      </w:tr>
      <w:tr w:rsidR="005054C8">
        <w:tc>
          <w:tcPr>
            <w:tcW w:w="2802" w:type="dxa"/>
          </w:tcPr>
          <w:p w:rsidR="005054C8" w:rsidRPr="005054C8" w:rsidRDefault="00457789" w:rsidP="003B0758">
            <w:pPr>
              <w:pStyle w:val="ListParagraph"/>
              <w:numPr>
                <w:ilvl w:val="0"/>
                <w:numId w:val="16"/>
              </w:numPr>
              <w:jc w:val="left"/>
              <w:rPr>
                <w:rFonts w:asciiTheme="minorHAnsi" w:hAnsiTheme="minorHAnsi"/>
                <w:sz w:val="20"/>
              </w:rPr>
            </w:pPr>
            <w:r>
              <w:rPr>
                <w:rFonts w:asciiTheme="minorHAnsi" w:hAnsiTheme="minorHAnsi" w:cs="Arial"/>
                <w:sz w:val="20"/>
              </w:rPr>
              <w:t>Learning and Teaching S</w:t>
            </w:r>
            <w:r w:rsidR="003B0758">
              <w:rPr>
                <w:rFonts w:asciiTheme="minorHAnsi" w:hAnsiTheme="minorHAnsi" w:cs="Arial"/>
                <w:sz w:val="20"/>
              </w:rPr>
              <w:t>trategies.</w:t>
            </w:r>
          </w:p>
        </w:tc>
        <w:tc>
          <w:tcPr>
            <w:tcW w:w="6440" w:type="dxa"/>
          </w:tcPr>
          <w:p w:rsidR="005054C8" w:rsidRPr="003B0758" w:rsidRDefault="00637B52" w:rsidP="00485B0A">
            <w:pPr>
              <w:jc w:val="left"/>
              <w:rPr>
                <w:rFonts w:asciiTheme="minorHAnsi" w:hAnsiTheme="minorHAnsi"/>
                <w:sz w:val="20"/>
                <w:lang w:val="en-GB"/>
              </w:rPr>
            </w:pPr>
            <w:r>
              <w:rPr>
                <w:rFonts w:asciiTheme="minorHAnsi" w:hAnsiTheme="minorHAnsi"/>
                <w:sz w:val="20"/>
                <w:lang w:val="en-GB"/>
              </w:rPr>
              <w:t>T</w:t>
            </w:r>
            <w:r w:rsidR="003B0758" w:rsidRPr="003B0758">
              <w:rPr>
                <w:rFonts w:asciiTheme="minorHAnsi" w:hAnsiTheme="minorHAnsi"/>
                <w:sz w:val="20"/>
                <w:lang w:val="en-GB"/>
              </w:rPr>
              <w:t>his module explore</w:t>
            </w:r>
            <w:r w:rsidR="006D1280">
              <w:rPr>
                <w:rFonts w:asciiTheme="minorHAnsi" w:hAnsiTheme="minorHAnsi"/>
                <w:sz w:val="20"/>
                <w:lang w:val="en-GB"/>
              </w:rPr>
              <w:t>s</w:t>
            </w:r>
            <w:r w:rsidR="003B0758" w:rsidRPr="003B0758">
              <w:rPr>
                <w:rFonts w:asciiTheme="minorHAnsi" w:hAnsiTheme="minorHAnsi"/>
                <w:sz w:val="20"/>
                <w:lang w:val="en-GB"/>
              </w:rPr>
              <w:t xml:space="preserve"> the changing nature of classroom teaching generally and the implications</w:t>
            </w:r>
            <w:r>
              <w:rPr>
                <w:rFonts w:asciiTheme="minorHAnsi" w:hAnsiTheme="minorHAnsi"/>
                <w:sz w:val="20"/>
                <w:lang w:val="en-GB"/>
              </w:rPr>
              <w:t xml:space="preserve"> for working with the Deaf in particular. I</w:t>
            </w:r>
            <w:r w:rsidR="003B0758" w:rsidRPr="003B0758">
              <w:rPr>
                <w:rFonts w:asciiTheme="minorHAnsi" w:hAnsiTheme="minorHAnsi"/>
                <w:sz w:val="20"/>
                <w:lang w:val="en-GB"/>
              </w:rPr>
              <w:t>t include</w:t>
            </w:r>
            <w:r w:rsidR="006D1280">
              <w:rPr>
                <w:rFonts w:asciiTheme="minorHAnsi" w:hAnsiTheme="minorHAnsi"/>
                <w:sz w:val="20"/>
                <w:lang w:val="en-GB"/>
              </w:rPr>
              <w:t>s</w:t>
            </w:r>
            <w:r w:rsidR="003B0758" w:rsidRPr="003B0758">
              <w:rPr>
                <w:rFonts w:asciiTheme="minorHAnsi" w:hAnsiTheme="minorHAnsi"/>
                <w:sz w:val="20"/>
                <w:lang w:val="en-GB"/>
              </w:rPr>
              <w:t xml:space="preserve"> guidelines for managing the classroom and learning resources, planning, use of space, managing discipline, administration, </w:t>
            </w:r>
            <w:r w:rsidRPr="003B0758">
              <w:rPr>
                <w:rFonts w:asciiTheme="minorHAnsi" w:hAnsiTheme="minorHAnsi"/>
                <w:sz w:val="20"/>
                <w:lang w:val="en-GB"/>
              </w:rPr>
              <w:t>group work</w:t>
            </w:r>
            <w:r w:rsidR="003B0758" w:rsidRPr="003B0758">
              <w:rPr>
                <w:rFonts w:asciiTheme="minorHAnsi" w:hAnsiTheme="minorHAnsi"/>
                <w:sz w:val="20"/>
                <w:lang w:val="en-GB"/>
              </w:rPr>
              <w:t xml:space="preserve">, culture, differentiated teaching approaches; and working with support services and </w:t>
            </w:r>
            <w:r w:rsidR="003B0758" w:rsidRPr="003B0758">
              <w:rPr>
                <w:rFonts w:asciiTheme="minorHAnsi" w:hAnsiTheme="minorHAnsi"/>
                <w:sz w:val="20"/>
                <w:lang w:val="en-GB"/>
              </w:rPr>
              <w:lastRenderedPageBreak/>
              <w:t>other stakeholders</w:t>
            </w:r>
            <w:r>
              <w:rPr>
                <w:rFonts w:asciiTheme="minorHAnsi" w:hAnsiTheme="minorHAnsi"/>
                <w:sz w:val="20"/>
                <w:lang w:val="en-GB"/>
              </w:rPr>
              <w:t>.</w:t>
            </w:r>
          </w:p>
        </w:tc>
      </w:tr>
      <w:tr w:rsidR="005054C8">
        <w:tc>
          <w:tcPr>
            <w:tcW w:w="2802" w:type="dxa"/>
          </w:tcPr>
          <w:p w:rsidR="005054C8" w:rsidRPr="005054C8" w:rsidRDefault="00457789" w:rsidP="003B0758">
            <w:pPr>
              <w:pStyle w:val="ListParagraph"/>
              <w:numPr>
                <w:ilvl w:val="0"/>
                <w:numId w:val="16"/>
              </w:numPr>
              <w:jc w:val="left"/>
              <w:rPr>
                <w:rFonts w:asciiTheme="minorHAnsi" w:hAnsiTheme="minorHAnsi"/>
                <w:sz w:val="20"/>
              </w:rPr>
            </w:pPr>
            <w:r>
              <w:rPr>
                <w:rFonts w:asciiTheme="minorHAnsi" w:hAnsiTheme="minorHAnsi" w:cs="Arial"/>
                <w:sz w:val="20"/>
              </w:rPr>
              <w:lastRenderedPageBreak/>
              <w:t>Assessing L</w:t>
            </w:r>
            <w:r w:rsidR="005054C8" w:rsidRPr="005054C8">
              <w:rPr>
                <w:rFonts w:asciiTheme="minorHAnsi" w:hAnsiTheme="minorHAnsi" w:cs="Arial"/>
                <w:sz w:val="20"/>
              </w:rPr>
              <w:t>earners</w:t>
            </w:r>
            <w:r w:rsidR="003B0758">
              <w:rPr>
                <w:rFonts w:asciiTheme="minorHAnsi" w:hAnsiTheme="minorHAnsi" w:cs="Arial"/>
                <w:sz w:val="20"/>
              </w:rPr>
              <w:t>.</w:t>
            </w:r>
          </w:p>
        </w:tc>
        <w:tc>
          <w:tcPr>
            <w:tcW w:w="6440" w:type="dxa"/>
          </w:tcPr>
          <w:p w:rsidR="005054C8" w:rsidRPr="00637B52" w:rsidRDefault="00637B52" w:rsidP="00485B0A">
            <w:pPr>
              <w:jc w:val="left"/>
              <w:rPr>
                <w:rFonts w:asciiTheme="minorHAnsi" w:hAnsiTheme="minorHAnsi"/>
                <w:sz w:val="20"/>
                <w:lang w:val="en-GB"/>
              </w:rPr>
            </w:pPr>
            <w:r>
              <w:rPr>
                <w:rFonts w:asciiTheme="minorHAnsi" w:hAnsiTheme="minorHAnsi"/>
                <w:sz w:val="20"/>
                <w:lang w:val="en-GB"/>
              </w:rPr>
              <w:t>T</w:t>
            </w:r>
            <w:r w:rsidR="003B0758" w:rsidRPr="003B0758">
              <w:rPr>
                <w:rFonts w:asciiTheme="minorHAnsi" w:hAnsiTheme="minorHAnsi"/>
                <w:sz w:val="20"/>
                <w:lang w:val="en-GB"/>
              </w:rPr>
              <w:t>his module provide</w:t>
            </w:r>
            <w:r w:rsidR="006D1280">
              <w:rPr>
                <w:rFonts w:asciiTheme="minorHAnsi" w:hAnsiTheme="minorHAnsi"/>
                <w:sz w:val="20"/>
                <w:lang w:val="en-GB"/>
              </w:rPr>
              <w:t>s</w:t>
            </w:r>
            <w:r w:rsidR="003B0758" w:rsidRPr="003B0758">
              <w:rPr>
                <w:rFonts w:asciiTheme="minorHAnsi" w:hAnsiTheme="minorHAnsi"/>
                <w:sz w:val="20"/>
                <w:lang w:val="en-GB"/>
              </w:rPr>
              <w:t xml:space="preserve"> a general overview of the role of assessment in the learning process as well as contemporary approaches</w:t>
            </w:r>
            <w:r>
              <w:rPr>
                <w:rFonts w:asciiTheme="minorHAnsi" w:hAnsiTheme="minorHAnsi"/>
                <w:sz w:val="20"/>
                <w:lang w:val="en-GB"/>
              </w:rPr>
              <w:t xml:space="preserve">. It </w:t>
            </w:r>
            <w:r w:rsidR="006D1280">
              <w:rPr>
                <w:rFonts w:asciiTheme="minorHAnsi" w:hAnsiTheme="minorHAnsi"/>
                <w:sz w:val="20"/>
                <w:lang w:val="en-GB"/>
              </w:rPr>
              <w:t xml:space="preserve">then narrows </w:t>
            </w:r>
            <w:r w:rsidR="003B0758" w:rsidRPr="003B0758">
              <w:rPr>
                <w:rFonts w:asciiTheme="minorHAnsi" w:hAnsiTheme="minorHAnsi"/>
                <w:sz w:val="20"/>
                <w:lang w:val="en-GB"/>
              </w:rPr>
              <w:t>down to consider how these general approaches can be modified to s</w:t>
            </w:r>
            <w:r>
              <w:rPr>
                <w:rFonts w:asciiTheme="minorHAnsi" w:hAnsiTheme="minorHAnsi"/>
                <w:sz w:val="20"/>
                <w:lang w:val="en-GB"/>
              </w:rPr>
              <w:t xml:space="preserve">uit the assessment of </w:t>
            </w:r>
            <w:r w:rsidR="00652BD8">
              <w:rPr>
                <w:rFonts w:asciiTheme="minorHAnsi" w:hAnsiTheme="minorHAnsi"/>
                <w:sz w:val="20"/>
                <w:lang w:val="en-GB"/>
              </w:rPr>
              <w:t xml:space="preserve">the </w:t>
            </w:r>
            <w:r>
              <w:rPr>
                <w:rFonts w:asciiTheme="minorHAnsi" w:hAnsiTheme="minorHAnsi"/>
                <w:sz w:val="20"/>
                <w:lang w:val="en-GB"/>
              </w:rPr>
              <w:t>Deaf in particular.</w:t>
            </w:r>
          </w:p>
        </w:tc>
      </w:tr>
      <w:tr w:rsidR="005054C8">
        <w:tc>
          <w:tcPr>
            <w:tcW w:w="2802" w:type="dxa"/>
          </w:tcPr>
          <w:p w:rsidR="005054C8" w:rsidRPr="005054C8" w:rsidRDefault="005054C8" w:rsidP="003B0758">
            <w:pPr>
              <w:pStyle w:val="ListParagraph"/>
              <w:numPr>
                <w:ilvl w:val="0"/>
                <w:numId w:val="16"/>
              </w:numPr>
              <w:jc w:val="left"/>
              <w:rPr>
                <w:rFonts w:asciiTheme="minorHAnsi" w:hAnsiTheme="minorHAnsi"/>
                <w:sz w:val="20"/>
              </w:rPr>
            </w:pPr>
            <w:r w:rsidRPr="005054C8">
              <w:rPr>
                <w:rFonts w:asciiTheme="minorHAnsi" w:hAnsiTheme="minorHAnsi" w:cs="Arial"/>
                <w:sz w:val="20"/>
              </w:rPr>
              <w:t xml:space="preserve">Integrating ICTs into </w:t>
            </w:r>
            <w:r w:rsidR="00457789">
              <w:rPr>
                <w:rFonts w:asciiTheme="minorHAnsi" w:hAnsiTheme="minorHAnsi" w:cs="Arial"/>
                <w:sz w:val="20"/>
              </w:rPr>
              <w:t>Learning and T</w:t>
            </w:r>
            <w:r>
              <w:rPr>
                <w:rFonts w:asciiTheme="minorHAnsi" w:hAnsiTheme="minorHAnsi" w:cs="Arial"/>
                <w:sz w:val="20"/>
              </w:rPr>
              <w:t xml:space="preserve">eaching. </w:t>
            </w:r>
          </w:p>
        </w:tc>
        <w:tc>
          <w:tcPr>
            <w:tcW w:w="6440" w:type="dxa"/>
          </w:tcPr>
          <w:p w:rsidR="005054C8" w:rsidRPr="00637B52" w:rsidRDefault="00637B52" w:rsidP="006D1280">
            <w:pPr>
              <w:jc w:val="left"/>
              <w:rPr>
                <w:rFonts w:asciiTheme="minorHAnsi" w:hAnsiTheme="minorHAnsi"/>
                <w:sz w:val="20"/>
                <w:lang w:val="en-GB"/>
              </w:rPr>
            </w:pPr>
            <w:r>
              <w:rPr>
                <w:rFonts w:asciiTheme="minorHAnsi" w:hAnsiTheme="minorHAnsi"/>
                <w:sz w:val="20"/>
                <w:lang w:val="en-GB"/>
              </w:rPr>
              <w:t xml:space="preserve">This </w:t>
            </w:r>
            <w:r w:rsidR="003B0758" w:rsidRPr="003B0758">
              <w:rPr>
                <w:rFonts w:asciiTheme="minorHAnsi" w:hAnsiTheme="minorHAnsi"/>
                <w:sz w:val="20"/>
                <w:lang w:val="en-GB"/>
              </w:rPr>
              <w:t>module explore</w:t>
            </w:r>
            <w:r w:rsidR="006D1280">
              <w:rPr>
                <w:rFonts w:asciiTheme="minorHAnsi" w:hAnsiTheme="minorHAnsi"/>
                <w:sz w:val="20"/>
                <w:lang w:val="en-GB"/>
              </w:rPr>
              <w:t>s</w:t>
            </w:r>
            <w:r w:rsidR="003B0758" w:rsidRPr="003B0758">
              <w:rPr>
                <w:rFonts w:asciiTheme="minorHAnsi" w:hAnsiTheme="minorHAnsi"/>
                <w:sz w:val="20"/>
                <w:lang w:val="en-GB"/>
              </w:rPr>
              <w:t xml:space="preserve"> the wide range of technologies available to support planning, teaching and assessment processes and help</w:t>
            </w:r>
            <w:r w:rsidR="006D1280">
              <w:rPr>
                <w:rFonts w:asciiTheme="minorHAnsi" w:hAnsiTheme="minorHAnsi"/>
                <w:sz w:val="20"/>
                <w:lang w:val="en-GB"/>
              </w:rPr>
              <w:t>s</w:t>
            </w:r>
            <w:r w:rsidR="003B0758" w:rsidRPr="003B0758">
              <w:rPr>
                <w:rFonts w:asciiTheme="minorHAnsi" w:hAnsiTheme="minorHAnsi"/>
                <w:sz w:val="20"/>
                <w:lang w:val="en-GB"/>
              </w:rPr>
              <w:t xml:space="preserve"> </w:t>
            </w:r>
            <w:r>
              <w:rPr>
                <w:rFonts w:asciiTheme="minorHAnsi" w:hAnsiTheme="minorHAnsi"/>
                <w:sz w:val="20"/>
                <w:lang w:val="en-GB"/>
              </w:rPr>
              <w:t xml:space="preserve">students </w:t>
            </w:r>
            <w:r w:rsidR="003B0758" w:rsidRPr="003B0758">
              <w:rPr>
                <w:rFonts w:asciiTheme="minorHAnsi" w:hAnsiTheme="minorHAnsi"/>
                <w:sz w:val="20"/>
                <w:lang w:val="en-GB"/>
              </w:rPr>
              <w:t>to make informed decisions about how to select appropriate technologies a</w:t>
            </w:r>
            <w:r>
              <w:rPr>
                <w:rFonts w:asciiTheme="minorHAnsi" w:hAnsiTheme="minorHAnsi"/>
                <w:sz w:val="20"/>
                <w:lang w:val="en-GB"/>
              </w:rPr>
              <w:t>nd use them in appropriate ways.</w:t>
            </w:r>
          </w:p>
        </w:tc>
      </w:tr>
      <w:tr w:rsidR="005054C8">
        <w:tc>
          <w:tcPr>
            <w:tcW w:w="2802" w:type="dxa"/>
          </w:tcPr>
          <w:p w:rsidR="005054C8" w:rsidRPr="005054C8" w:rsidRDefault="00457789" w:rsidP="003B0758">
            <w:pPr>
              <w:pStyle w:val="ListParagraph"/>
              <w:numPr>
                <w:ilvl w:val="0"/>
                <w:numId w:val="16"/>
              </w:numPr>
              <w:jc w:val="left"/>
              <w:rPr>
                <w:rFonts w:asciiTheme="minorHAnsi" w:hAnsiTheme="minorHAnsi"/>
                <w:sz w:val="20"/>
              </w:rPr>
            </w:pPr>
            <w:r>
              <w:rPr>
                <w:rFonts w:asciiTheme="minorHAnsi" w:hAnsiTheme="minorHAnsi" w:cs="Arial"/>
                <w:sz w:val="20"/>
              </w:rPr>
              <w:t>Working in a Hearing W</w:t>
            </w:r>
            <w:r w:rsidR="005054C8" w:rsidRPr="005054C8">
              <w:rPr>
                <w:rFonts w:asciiTheme="minorHAnsi" w:hAnsiTheme="minorHAnsi" w:cs="Arial"/>
                <w:sz w:val="20"/>
              </w:rPr>
              <w:t>orld</w:t>
            </w:r>
            <w:r w:rsidR="005054C8">
              <w:rPr>
                <w:rFonts w:asciiTheme="minorHAnsi" w:hAnsiTheme="minorHAnsi" w:cs="Arial"/>
                <w:sz w:val="20"/>
              </w:rPr>
              <w:t>.</w:t>
            </w:r>
          </w:p>
        </w:tc>
        <w:tc>
          <w:tcPr>
            <w:tcW w:w="6440" w:type="dxa"/>
          </w:tcPr>
          <w:p w:rsidR="005054C8" w:rsidRPr="00637B52" w:rsidRDefault="00637B52" w:rsidP="00485B0A">
            <w:pPr>
              <w:jc w:val="left"/>
              <w:rPr>
                <w:rFonts w:asciiTheme="minorHAnsi" w:hAnsiTheme="minorHAnsi"/>
                <w:sz w:val="20"/>
                <w:lang w:val="en-GB"/>
              </w:rPr>
            </w:pPr>
            <w:r>
              <w:rPr>
                <w:rFonts w:asciiTheme="minorHAnsi" w:hAnsiTheme="minorHAnsi"/>
                <w:sz w:val="20"/>
                <w:lang w:val="en-GB"/>
              </w:rPr>
              <w:t xml:space="preserve">This </w:t>
            </w:r>
            <w:r w:rsidR="003B0758" w:rsidRPr="003B0758">
              <w:rPr>
                <w:rFonts w:asciiTheme="minorHAnsi" w:hAnsiTheme="minorHAnsi"/>
                <w:sz w:val="20"/>
                <w:lang w:val="en-GB"/>
              </w:rPr>
              <w:t>modul</w:t>
            </w:r>
            <w:r>
              <w:rPr>
                <w:rFonts w:asciiTheme="minorHAnsi" w:hAnsiTheme="minorHAnsi"/>
                <w:sz w:val="20"/>
                <w:lang w:val="en-GB"/>
              </w:rPr>
              <w:t xml:space="preserve">e recognises that the Deaf </w:t>
            </w:r>
            <w:r w:rsidR="003B0758" w:rsidRPr="003B0758">
              <w:rPr>
                <w:rFonts w:asciiTheme="minorHAnsi" w:hAnsiTheme="minorHAnsi"/>
                <w:sz w:val="20"/>
                <w:lang w:val="en-GB"/>
              </w:rPr>
              <w:t xml:space="preserve">need to be able to survive and thrive in a world </w:t>
            </w:r>
            <w:r>
              <w:rPr>
                <w:rFonts w:asciiTheme="minorHAnsi" w:hAnsiTheme="minorHAnsi"/>
                <w:sz w:val="20"/>
                <w:lang w:val="en-GB"/>
              </w:rPr>
              <w:t xml:space="preserve">that assumes everybody can hear. It </w:t>
            </w:r>
            <w:r w:rsidR="003B0758" w:rsidRPr="003B0758">
              <w:rPr>
                <w:rFonts w:asciiTheme="minorHAnsi" w:hAnsiTheme="minorHAnsi"/>
                <w:sz w:val="20"/>
                <w:lang w:val="en-GB"/>
              </w:rPr>
              <w:t>explore</w:t>
            </w:r>
            <w:r w:rsidR="006D1280">
              <w:rPr>
                <w:rFonts w:asciiTheme="minorHAnsi" w:hAnsiTheme="minorHAnsi"/>
                <w:sz w:val="20"/>
                <w:lang w:val="en-GB"/>
              </w:rPr>
              <w:t>s</w:t>
            </w:r>
            <w:r w:rsidR="003B0758" w:rsidRPr="003B0758">
              <w:rPr>
                <w:rFonts w:asciiTheme="minorHAnsi" w:hAnsiTheme="minorHAnsi"/>
                <w:sz w:val="20"/>
                <w:lang w:val="en-GB"/>
              </w:rPr>
              <w:t xml:space="preserve"> strategies for coping with the challenges and opportunities that present themselves and for developing supportive mechanisms such as commu</w:t>
            </w:r>
            <w:r w:rsidR="006D1280">
              <w:rPr>
                <w:rFonts w:asciiTheme="minorHAnsi" w:hAnsiTheme="minorHAnsi"/>
                <w:sz w:val="20"/>
                <w:lang w:val="en-GB"/>
              </w:rPr>
              <w:t>nities of learning and practice</w:t>
            </w:r>
            <w:r w:rsidR="003B0758" w:rsidRPr="003B0758">
              <w:rPr>
                <w:rFonts w:asciiTheme="minorHAnsi" w:hAnsiTheme="minorHAnsi"/>
                <w:sz w:val="20"/>
                <w:lang w:val="en-GB"/>
              </w:rPr>
              <w:t>.</w:t>
            </w:r>
          </w:p>
        </w:tc>
      </w:tr>
    </w:tbl>
    <w:p w:rsidR="00637B52" w:rsidRPr="00BE1307" w:rsidRDefault="00637B52" w:rsidP="00BE1307">
      <w:pPr>
        <w:pStyle w:val="Heading3"/>
        <w:spacing w:before="360"/>
        <w:rPr>
          <w:sz w:val="24"/>
          <w:szCs w:val="26"/>
        </w:rPr>
      </w:pPr>
      <w:r w:rsidRPr="00BE1307">
        <w:rPr>
          <w:sz w:val="24"/>
          <w:szCs w:val="26"/>
        </w:rPr>
        <w:t>Overview of Time Allocation per Semester</w:t>
      </w:r>
    </w:p>
    <w:p w:rsidR="00637B52" w:rsidRPr="00637B52" w:rsidRDefault="00637B52" w:rsidP="00637B52">
      <w:r>
        <w:t>The following table reflects the types of learning activities and % of learning time</w:t>
      </w:r>
      <w:r w:rsidR="009E01B3">
        <w:t xml:space="preserve"> per semester</w:t>
      </w:r>
      <w:r>
        <w:t xml:space="preserve">. </w:t>
      </w:r>
    </w:p>
    <w:tbl>
      <w:tblPr>
        <w:tblStyle w:val="TableGrid"/>
        <w:tblW w:w="0" w:type="auto"/>
        <w:tblLook w:val="00A0" w:firstRow="1" w:lastRow="0" w:firstColumn="1" w:lastColumn="0" w:noHBand="0" w:noVBand="0"/>
      </w:tblPr>
      <w:tblGrid>
        <w:gridCol w:w="3936"/>
        <w:gridCol w:w="1275"/>
        <w:gridCol w:w="3828"/>
      </w:tblGrid>
      <w:tr w:rsidR="001744C9" w:rsidRPr="001744C9">
        <w:tc>
          <w:tcPr>
            <w:tcW w:w="3936" w:type="dxa"/>
            <w:shd w:val="clear" w:color="auto" w:fill="C2D69B" w:themeFill="accent3" w:themeFillTint="99"/>
          </w:tcPr>
          <w:p w:rsidR="001744C9" w:rsidRPr="00637B52" w:rsidRDefault="001744C9" w:rsidP="00637B52">
            <w:pPr>
              <w:spacing w:before="120" w:after="120"/>
              <w:rPr>
                <w:rFonts w:asciiTheme="minorHAnsi" w:hAnsiTheme="minorHAnsi" w:cs="Arial"/>
                <w:b/>
                <w:sz w:val="22"/>
              </w:rPr>
            </w:pPr>
            <w:r w:rsidRPr="00637B52">
              <w:rPr>
                <w:rFonts w:asciiTheme="minorHAnsi" w:hAnsiTheme="minorHAnsi" w:cs="Arial"/>
                <w:b/>
                <w:sz w:val="22"/>
              </w:rPr>
              <w:t xml:space="preserve">Types of Learning Activities </w:t>
            </w:r>
          </w:p>
        </w:tc>
        <w:tc>
          <w:tcPr>
            <w:tcW w:w="1275" w:type="dxa"/>
            <w:shd w:val="clear" w:color="auto" w:fill="C2D69B" w:themeFill="accent3" w:themeFillTint="99"/>
          </w:tcPr>
          <w:p w:rsidR="001744C9" w:rsidRPr="00637B52" w:rsidRDefault="001744C9" w:rsidP="001744C9">
            <w:pPr>
              <w:spacing w:before="120" w:after="120"/>
              <w:jc w:val="left"/>
              <w:rPr>
                <w:rFonts w:asciiTheme="minorHAnsi" w:hAnsiTheme="minorHAnsi" w:cs="Arial"/>
                <w:b/>
                <w:sz w:val="22"/>
              </w:rPr>
            </w:pPr>
            <w:r w:rsidRPr="00637B52">
              <w:rPr>
                <w:rFonts w:asciiTheme="minorHAnsi" w:hAnsiTheme="minorHAnsi" w:cs="Arial"/>
                <w:b/>
                <w:sz w:val="22"/>
              </w:rPr>
              <w:t>% Learning Time</w:t>
            </w:r>
          </w:p>
        </w:tc>
        <w:tc>
          <w:tcPr>
            <w:tcW w:w="3828" w:type="dxa"/>
            <w:shd w:val="clear" w:color="auto" w:fill="C2D69B" w:themeFill="accent3" w:themeFillTint="99"/>
          </w:tcPr>
          <w:p w:rsidR="001744C9" w:rsidRPr="001744C9" w:rsidRDefault="001744C9" w:rsidP="00485B0A">
            <w:pPr>
              <w:spacing w:before="120" w:after="120"/>
              <w:jc w:val="left"/>
              <w:rPr>
                <w:rFonts w:asciiTheme="minorHAnsi" w:hAnsiTheme="minorHAnsi" w:cs="Arial"/>
                <w:b/>
                <w:sz w:val="22"/>
              </w:rPr>
            </w:pPr>
            <w:r>
              <w:rPr>
                <w:rFonts w:asciiTheme="minorHAnsi" w:hAnsiTheme="minorHAnsi" w:cs="Arial"/>
                <w:b/>
                <w:sz w:val="22"/>
              </w:rPr>
              <w:t xml:space="preserve">Details </w:t>
            </w:r>
          </w:p>
        </w:tc>
      </w:tr>
      <w:tr w:rsidR="001744C9">
        <w:tc>
          <w:tcPr>
            <w:tcW w:w="3936" w:type="dxa"/>
          </w:tcPr>
          <w:p w:rsidR="001744C9" w:rsidRPr="00605B5F" w:rsidRDefault="001744C9" w:rsidP="00605B5F">
            <w:pPr>
              <w:rPr>
                <w:rFonts w:asciiTheme="minorHAnsi" w:hAnsiTheme="minorHAnsi" w:cs="Arial"/>
                <w:bCs/>
                <w:sz w:val="20"/>
                <w:lang w:val="en-GB"/>
              </w:rPr>
            </w:pPr>
            <w:r w:rsidRPr="00605B5F">
              <w:rPr>
                <w:rFonts w:asciiTheme="minorHAnsi" w:hAnsiTheme="minorHAnsi" w:cs="Arial"/>
                <w:bCs/>
                <w:sz w:val="20"/>
                <w:lang w:val="en-GB"/>
              </w:rPr>
              <w:t>Lectures (face to face, limited interaction or technologically mediated</w:t>
            </w:r>
            <w:r>
              <w:rPr>
                <w:rFonts w:asciiTheme="minorHAnsi" w:hAnsiTheme="minorHAnsi" w:cs="Arial"/>
                <w:bCs/>
                <w:sz w:val="20"/>
                <w:lang w:val="en-GB"/>
              </w:rPr>
              <w:t>.</w:t>
            </w:r>
          </w:p>
        </w:tc>
        <w:tc>
          <w:tcPr>
            <w:tcW w:w="1275" w:type="dxa"/>
          </w:tcPr>
          <w:p w:rsidR="001744C9" w:rsidRPr="00605B5F" w:rsidRDefault="001744C9" w:rsidP="001744C9">
            <w:pPr>
              <w:jc w:val="center"/>
              <w:rPr>
                <w:rFonts w:asciiTheme="minorHAnsi" w:hAnsiTheme="minorHAnsi" w:cs="Arial"/>
                <w:sz w:val="20"/>
              </w:rPr>
            </w:pPr>
            <w:r>
              <w:rPr>
                <w:rFonts w:asciiTheme="minorHAnsi" w:hAnsiTheme="minorHAnsi" w:cs="Arial"/>
                <w:sz w:val="20"/>
              </w:rPr>
              <w:t>0</w:t>
            </w:r>
          </w:p>
        </w:tc>
        <w:tc>
          <w:tcPr>
            <w:tcW w:w="3828" w:type="dxa"/>
          </w:tcPr>
          <w:p w:rsidR="001744C9" w:rsidRDefault="001744C9" w:rsidP="00605B5F">
            <w:pPr>
              <w:rPr>
                <w:rFonts w:cs="Arial"/>
                <w:sz w:val="20"/>
              </w:rPr>
            </w:pPr>
          </w:p>
        </w:tc>
      </w:tr>
      <w:tr w:rsidR="001744C9">
        <w:tc>
          <w:tcPr>
            <w:tcW w:w="3936" w:type="dxa"/>
          </w:tcPr>
          <w:p w:rsidR="001744C9" w:rsidRPr="00605B5F" w:rsidRDefault="001744C9" w:rsidP="00605B5F">
            <w:pPr>
              <w:rPr>
                <w:rFonts w:asciiTheme="minorHAnsi" w:hAnsiTheme="minorHAnsi" w:cs="Arial"/>
                <w:bCs/>
                <w:sz w:val="20"/>
                <w:lang w:val="en-GB"/>
              </w:rPr>
            </w:pPr>
            <w:r w:rsidRPr="00605B5F">
              <w:rPr>
                <w:rFonts w:asciiTheme="minorHAnsi" w:hAnsiTheme="minorHAnsi" w:cs="Arial"/>
                <w:bCs/>
                <w:sz w:val="20"/>
                <w:lang w:val="en-GB"/>
              </w:rPr>
              <w:t>Tutorials: individual groups of 30 or fewer</w:t>
            </w:r>
            <w:r>
              <w:rPr>
                <w:rFonts w:asciiTheme="minorHAnsi" w:hAnsiTheme="minorHAnsi" w:cs="Arial"/>
                <w:bCs/>
                <w:sz w:val="20"/>
                <w:lang w:val="en-GB"/>
              </w:rPr>
              <w:t>.</w:t>
            </w:r>
          </w:p>
          <w:p w:rsidR="001744C9" w:rsidRPr="00605B5F" w:rsidRDefault="001744C9" w:rsidP="00605B5F">
            <w:pPr>
              <w:rPr>
                <w:rFonts w:asciiTheme="minorHAnsi" w:hAnsiTheme="minorHAnsi" w:cs="Arial"/>
                <w:sz w:val="20"/>
              </w:rPr>
            </w:pPr>
          </w:p>
        </w:tc>
        <w:tc>
          <w:tcPr>
            <w:tcW w:w="1275" w:type="dxa"/>
          </w:tcPr>
          <w:p w:rsidR="001744C9" w:rsidRDefault="000700FC" w:rsidP="001744C9">
            <w:pPr>
              <w:jc w:val="center"/>
              <w:rPr>
                <w:rFonts w:asciiTheme="minorHAnsi" w:hAnsiTheme="minorHAnsi" w:cs="Arial"/>
                <w:sz w:val="20"/>
                <w:lang w:val="en-GB"/>
              </w:rPr>
            </w:pPr>
            <w:r>
              <w:rPr>
                <w:rFonts w:asciiTheme="minorHAnsi" w:hAnsiTheme="minorHAnsi" w:cs="Arial"/>
                <w:sz w:val="20"/>
                <w:lang w:val="en-GB"/>
              </w:rPr>
              <w:t>30</w:t>
            </w:r>
            <w:r w:rsidR="001744C9" w:rsidRPr="00605B5F">
              <w:rPr>
                <w:rFonts w:asciiTheme="minorHAnsi" w:hAnsiTheme="minorHAnsi" w:cs="Arial"/>
                <w:sz w:val="20"/>
                <w:lang w:val="en-GB"/>
              </w:rPr>
              <w:t>%</w:t>
            </w:r>
          </w:p>
          <w:p w:rsidR="001744C9" w:rsidRPr="00605B5F" w:rsidRDefault="001744C9" w:rsidP="001744C9">
            <w:pPr>
              <w:jc w:val="center"/>
              <w:rPr>
                <w:rFonts w:asciiTheme="minorHAnsi" w:hAnsiTheme="minorHAnsi" w:cs="Arial"/>
                <w:sz w:val="20"/>
                <w:lang w:val="en-GB"/>
              </w:rPr>
            </w:pPr>
          </w:p>
        </w:tc>
        <w:tc>
          <w:tcPr>
            <w:tcW w:w="3828" w:type="dxa"/>
          </w:tcPr>
          <w:p w:rsidR="001744C9" w:rsidRDefault="001744C9" w:rsidP="001744C9">
            <w:pPr>
              <w:rPr>
                <w:rFonts w:asciiTheme="minorHAnsi" w:hAnsiTheme="minorHAnsi" w:cs="Arial"/>
                <w:sz w:val="20"/>
                <w:lang w:val="en-GB"/>
              </w:rPr>
            </w:pPr>
            <w:r>
              <w:rPr>
                <w:rFonts w:asciiTheme="minorHAnsi" w:hAnsiTheme="minorHAnsi" w:cs="Arial"/>
                <w:sz w:val="20"/>
                <w:lang w:val="en-GB"/>
              </w:rPr>
              <w:t xml:space="preserve">40h orientation to Programme. </w:t>
            </w:r>
          </w:p>
          <w:p w:rsidR="001744C9" w:rsidRPr="00605B5F" w:rsidRDefault="007A079E" w:rsidP="001744C9">
            <w:pPr>
              <w:jc w:val="left"/>
              <w:rPr>
                <w:rFonts w:cs="Arial"/>
                <w:sz w:val="20"/>
                <w:lang w:val="en-GB"/>
              </w:rPr>
            </w:pPr>
            <w:r>
              <w:rPr>
                <w:rFonts w:asciiTheme="minorHAnsi" w:hAnsiTheme="minorHAnsi" w:cs="Arial"/>
                <w:sz w:val="20"/>
                <w:lang w:val="en-GB"/>
              </w:rPr>
              <w:t>60h (12 x 5</w:t>
            </w:r>
            <w:r w:rsidR="001744C9" w:rsidRPr="00605B5F">
              <w:rPr>
                <w:rFonts w:asciiTheme="minorHAnsi" w:hAnsiTheme="minorHAnsi" w:cs="Arial"/>
                <w:sz w:val="20"/>
                <w:lang w:val="en-GB"/>
              </w:rPr>
              <w:t>h</w:t>
            </w:r>
            <w:r>
              <w:rPr>
                <w:rFonts w:asciiTheme="minorHAnsi" w:hAnsiTheme="minorHAnsi" w:cs="Arial"/>
                <w:sz w:val="20"/>
                <w:lang w:val="en-GB"/>
              </w:rPr>
              <w:t>)</w:t>
            </w:r>
            <w:r w:rsidR="001744C9" w:rsidRPr="00605B5F">
              <w:rPr>
                <w:rFonts w:asciiTheme="minorHAnsi" w:hAnsiTheme="minorHAnsi" w:cs="Arial"/>
                <w:sz w:val="20"/>
                <w:lang w:val="en-GB"/>
              </w:rPr>
              <w:t xml:space="preserve"> maintenance and consolidation</w:t>
            </w:r>
            <w:r w:rsidR="001744C9">
              <w:rPr>
                <w:rFonts w:asciiTheme="minorHAnsi" w:hAnsiTheme="minorHAnsi" w:cs="Arial"/>
                <w:sz w:val="20"/>
                <w:lang w:val="en-GB"/>
              </w:rPr>
              <w:t xml:space="preserve"> per semester.</w:t>
            </w:r>
            <w:r w:rsidR="001744C9" w:rsidRPr="00605B5F">
              <w:rPr>
                <w:rFonts w:asciiTheme="minorHAnsi" w:hAnsiTheme="minorHAnsi" w:cs="Arial"/>
                <w:sz w:val="20"/>
                <w:lang w:val="en-GB"/>
              </w:rPr>
              <w:t xml:space="preserve"> </w:t>
            </w:r>
          </w:p>
        </w:tc>
      </w:tr>
      <w:tr w:rsidR="001744C9">
        <w:tc>
          <w:tcPr>
            <w:tcW w:w="3936" w:type="dxa"/>
          </w:tcPr>
          <w:p w:rsidR="001744C9" w:rsidRPr="00605B5F" w:rsidRDefault="001744C9" w:rsidP="00636FB7">
            <w:pPr>
              <w:spacing w:after="200"/>
              <w:jc w:val="left"/>
              <w:rPr>
                <w:rFonts w:asciiTheme="minorHAnsi" w:hAnsiTheme="minorHAnsi" w:cs="Arial"/>
                <w:bCs/>
                <w:sz w:val="20"/>
                <w:lang w:val="en-GB"/>
              </w:rPr>
            </w:pPr>
            <w:r w:rsidRPr="00605B5F">
              <w:rPr>
                <w:rFonts w:asciiTheme="minorHAnsi" w:eastAsia="+mn-ea" w:hAnsiTheme="minorHAnsi" w:cs="Arial"/>
                <w:bCs/>
                <w:sz w:val="20"/>
                <w:lang w:val="en-GB"/>
              </w:rPr>
              <w:t>Syndicate groups</w:t>
            </w:r>
            <w:r>
              <w:rPr>
                <w:rFonts w:asciiTheme="minorHAnsi" w:eastAsia="+mn-ea" w:hAnsiTheme="minorHAnsi" w:cs="Arial"/>
                <w:bCs/>
                <w:sz w:val="20"/>
                <w:lang w:val="en-GB"/>
              </w:rPr>
              <w:t>.</w:t>
            </w:r>
          </w:p>
        </w:tc>
        <w:tc>
          <w:tcPr>
            <w:tcW w:w="1275" w:type="dxa"/>
          </w:tcPr>
          <w:p w:rsidR="001744C9" w:rsidRPr="00605B5F" w:rsidRDefault="001744C9" w:rsidP="001744C9">
            <w:pPr>
              <w:jc w:val="center"/>
              <w:rPr>
                <w:rFonts w:asciiTheme="minorHAnsi" w:hAnsiTheme="minorHAnsi" w:cs="Arial"/>
                <w:sz w:val="20"/>
              </w:rPr>
            </w:pPr>
            <w:r>
              <w:rPr>
                <w:rFonts w:asciiTheme="minorHAnsi" w:hAnsiTheme="minorHAnsi" w:cs="Arial"/>
                <w:sz w:val="20"/>
              </w:rPr>
              <w:t>0</w:t>
            </w:r>
          </w:p>
        </w:tc>
        <w:tc>
          <w:tcPr>
            <w:tcW w:w="3828" w:type="dxa"/>
          </w:tcPr>
          <w:p w:rsidR="001744C9" w:rsidRDefault="001744C9" w:rsidP="00605B5F">
            <w:pPr>
              <w:rPr>
                <w:rFonts w:cs="Arial"/>
                <w:sz w:val="20"/>
              </w:rPr>
            </w:pPr>
          </w:p>
        </w:tc>
      </w:tr>
      <w:tr w:rsidR="001744C9">
        <w:tc>
          <w:tcPr>
            <w:tcW w:w="3936" w:type="dxa"/>
          </w:tcPr>
          <w:p w:rsidR="001744C9" w:rsidRPr="00605B5F" w:rsidRDefault="001744C9" w:rsidP="00636FB7">
            <w:pPr>
              <w:spacing w:after="200"/>
              <w:jc w:val="left"/>
              <w:rPr>
                <w:rFonts w:asciiTheme="minorHAnsi" w:hAnsiTheme="minorHAnsi" w:cs="Arial"/>
                <w:bCs/>
                <w:sz w:val="20"/>
                <w:lang w:val="en-GB"/>
              </w:rPr>
            </w:pPr>
            <w:r w:rsidRPr="00605B5F">
              <w:rPr>
                <w:rFonts w:asciiTheme="minorHAnsi" w:eastAsia="+mn-ea" w:hAnsiTheme="minorHAnsi" w:cs="Arial"/>
                <w:bCs/>
                <w:sz w:val="20"/>
                <w:lang w:val="en-GB"/>
              </w:rPr>
              <w:t>Practical workplace experience (experiential learning/work-based learning etc.)</w:t>
            </w:r>
          </w:p>
        </w:tc>
        <w:tc>
          <w:tcPr>
            <w:tcW w:w="1275" w:type="dxa"/>
          </w:tcPr>
          <w:p w:rsidR="001744C9" w:rsidRPr="00605B5F" w:rsidRDefault="001744C9" w:rsidP="001744C9">
            <w:pPr>
              <w:jc w:val="center"/>
              <w:rPr>
                <w:rFonts w:asciiTheme="minorHAnsi" w:hAnsiTheme="minorHAnsi" w:cs="Arial"/>
                <w:sz w:val="20"/>
                <w:lang w:val="en-GB"/>
              </w:rPr>
            </w:pPr>
            <w:r w:rsidRPr="00605B5F">
              <w:rPr>
                <w:rFonts w:asciiTheme="minorHAnsi" w:hAnsiTheme="minorHAnsi" w:cs="Arial"/>
                <w:sz w:val="20"/>
                <w:lang w:val="en-GB"/>
              </w:rPr>
              <w:t xml:space="preserve">13% </w:t>
            </w:r>
            <w:r>
              <w:rPr>
                <w:rFonts w:asciiTheme="minorHAnsi" w:hAnsiTheme="minorHAnsi" w:cs="Arial"/>
                <w:sz w:val="20"/>
                <w:lang w:val="en-GB"/>
              </w:rPr>
              <w:br/>
            </w:r>
          </w:p>
        </w:tc>
        <w:tc>
          <w:tcPr>
            <w:tcW w:w="3828" w:type="dxa"/>
          </w:tcPr>
          <w:p w:rsidR="001744C9" w:rsidRPr="00605B5F" w:rsidRDefault="001744C9" w:rsidP="001744C9">
            <w:pPr>
              <w:jc w:val="left"/>
              <w:rPr>
                <w:rFonts w:cs="Arial"/>
                <w:sz w:val="20"/>
                <w:lang w:val="en-GB"/>
              </w:rPr>
            </w:pPr>
            <w:r w:rsidRPr="00605B5F">
              <w:rPr>
                <w:rFonts w:asciiTheme="minorHAnsi" w:hAnsiTheme="minorHAnsi" w:cs="Arial"/>
                <w:sz w:val="20"/>
                <w:lang w:val="en-GB"/>
              </w:rPr>
              <w:t>40h per semester</w:t>
            </w:r>
            <w:r>
              <w:rPr>
                <w:rFonts w:asciiTheme="minorHAnsi" w:hAnsiTheme="minorHAnsi" w:cs="Arial"/>
                <w:sz w:val="20"/>
                <w:lang w:val="en-GB"/>
              </w:rPr>
              <w:t xml:space="preserve">: </w:t>
            </w:r>
            <w:r w:rsidRPr="00605B5F">
              <w:rPr>
                <w:rFonts w:asciiTheme="minorHAnsi" w:hAnsiTheme="minorHAnsi" w:cs="Arial"/>
                <w:sz w:val="20"/>
                <w:lang w:val="en-GB"/>
              </w:rPr>
              <w:t>structured teaching practice experience</w:t>
            </w:r>
            <w:r>
              <w:rPr>
                <w:rFonts w:asciiTheme="minorHAnsi" w:hAnsiTheme="minorHAnsi" w:cs="Arial"/>
                <w:sz w:val="20"/>
                <w:lang w:val="en-GB"/>
              </w:rPr>
              <w:t xml:space="preserve">, </w:t>
            </w:r>
            <w:r w:rsidRPr="00605B5F">
              <w:rPr>
                <w:rFonts w:asciiTheme="minorHAnsi" w:hAnsiTheme="minorHAnsi" w:cs="Arial"/>
                <w:sz w:val="20"/>
                <w:lang w:val="en-GB"/>
              </w:rPr>
              <w:t xml:space="preserve">observation, teaching assistance, team teaching, </w:t>
            </w:r>
            <w:r w:rsidR="006D1280" w:rsidRPr="00605B5F">
              <w:rPr>
                <w:rFonts w:asciiTheme="minorHAnsi" w:hAnsiTheme="minorHAnsi" w:cs="Arial"/>
                <w:sz w:val="20"/>
                <w:lang w:val="en-GB"/>
              </w:rPr>
              <w:t>and independent</w:t>
            </w:r>
            <w:r w:rsidRPr="00605B5F">
              <w:rPr>
                <w:rFonts w:asciiTheme="minorHAnsi" w:hAnsiTheme="minorHAnsi" w:cs="Arial"/>
                <w:sz w:val="20"/>
                <w:lang w:val="en-GB"/>
              </w:rPr>
              <w:t xml:space="preserve"> teaching</w:t>
            </w:r>
            <w:r>
              <w:rPr>
                <w:rFonts w:asciiTheme="minorHAnsi" w:hAnsiTheme="minorHAnsi" w:cs="Arial"/>
                <w:sz w:val="20"/>
                <w:lang w:val="en-GB"/>
              </w:rPr>
              <w:t>.</w:t>
            </w:r>
          </w:p>
        </w:tc>
      </w:tr>
      <w:tr w:rsidR="001744C9">
        <w:tc>
          <w:tcPr>
            <w:tcW w:w="3936" w:type="dxa"/>
          </w:tcPr>
          <w:p w:rsidR="001744C9" w:rsidRPr="00605B5F" w:rsidRDefault="001744C9" w:rsidP="00636FB7">
            <w:pPr>
              <w:jc w:val="left"/>
              <w:rPr>
                <w:rFonts w:asciiTheme="minorHAnsi" w:hAnsiTheme="minorHAnsi" w:cs="Arial"/>
                <w:sz w:val="20"/>
              </w:rPr>
            </w:pPr>
            <w:r w:rsidRPr="00605B5F">
              <w:rPr>
                <w:rFonts w:asciiTheme="minorHAnsi" w:eastAsia="+mn-ea" w:hAnsiTheme="minorHAnsi" w:cs="Arial"/>
                <w:bCs/>
                <w:sz w:val="20"/>
                <w:lang w:val="en-GB"/>
              </w:rPr>
              <w:t>Independent self-study of standard texts and references (study guides, books, journal articles</w:t>
            </w:r>
            <w:r w:rsidR="00CF0E3F">
              <w:rPr>
                <w:rFonts w:asciiTheme="minorHAnsi" w:eastAsia="+mn-ea" w:hAnsiTheme="minorHAnsi" w:cs="Arial"/>
                <w:bCs/>
                <w:sz w:val="20"/>
                <w:lang w:val="en-GB"/>
              </w:rPr>
              <w:t>).</w:t>
            </w:r>
          </w:p>
        </w:tc>
        <w:tc>
          <w:tcPr>
            <w:tcW w:w="1275" w:type="dxa"/>
          </w:tcPr>
          <w:p w:rsidR="001744C9" w:rsidRPr="00D36701" w:rsidRDefault="001744C9" w:rsidP="001744C9">
            <w:pPr>
              <w:jc w:val="center"/>
              <w:rPr>
                <w:rFonts w:asciiTheme="minorHAnsi" w:hAnsiTheme="minorHAnsi" w:cs="Arial"/>
                <w:sz w:val="20"/>
                <w:lang w:val="en-GB"/>
              </w:rPr>
            </w:pPr>
            <w:r w:rsidRPr="00605B5F">
              <w:rPr>
                <w:rFonts w:asciiTheme="minorHAnsi" w:hAnsiTheme="minorHAnsi" w:cs="Arial"/>
                <w:sz w:val="20"/>
                <w:lang w:val="en-GB"/>
              </w:rPr>
              <w:t xml:space="preserve">20% </w:t>
            </w:r>
            <w:r>
              <w:rPr>
                <w:rFonts w:asciiTheme="minorHAnsi" w:hAnsiTheme="minorHAnsi" w:cs="Arial"/>
                <w:sz w:val="20"/>
                <w:lang w:val="en-GB"/>
              </w:rPr>
              <w:br/>
            </w:r>
          </w:p>
        </w:tc>
        <w:tc>
          <w:tcPr>
            <w:tcW w:w="3828" w:type="dxa"/>
          </w:tcPr>
          <w:p w:rsidR="001744C9" w:rsidRPr="00605B5F" w:rsidRDefault="001744C9" w:rsidP="00D36701">
            <w:pPr>
              <w:rPr>
                <w:rFonts w:cs="Arial"/>
                <w:sz w:val="20"/>
                <w:lang w:val="en-GB"/>
              </w:rPr>
            </w:pPr>
            <w:r>
              <w:rPr>
                <w:rFonts w:asciiTheme="minorHAnsi" w:hAnsiTheme="minorHAnsi" w:cs="Arial"/>
                <w:sz w:val="20"/>
                <w:lang w:val="en-GB"/>
              </w:rPr>
              <w:t>60h per semester.</w:t>
            </w:r>
          </w:p>
        </w:tc>
      </w:tr>
      <w:tr w:rsidR="001744C9">
        <w:tc>
          <w:tcPr>
            <w:tcW w:w="3936" w:type="dxa"/>
          </w:tcPr>
          <w:p w:rsidR="001744C9" w:rsidRPr="00605B5F" w:rsidRDefault="001744C9" w:rsidP="00636FB7">
            <w:pPr>
              <w:jc w:val="left"/>
              <w:rPr>
                <w:rFonts w:asciiTheme="minorHAnsi" w:hAnsiTheme="minorHAnsi" w:cs="Arial"/>
                <w:bCs/>
                <w:sz w:val="20"/>
                <w:lang w:val="en-GB"/>
              </w:rPr>
            </w:pPr>
            <w:r w:rsidRPr="00605B5F">
              <w:rPr>
                <w:rFonts w:asciiTheme="minorHAnsi" w:eastAsia="+mn-ea" w:hAnsiTheme="minorHAnsi" w:cs="Arial"/>
                <w:bCs/>
                <w:sz w:val="20"/>
                <w:lang w:val="en-GB"/>
              </w:rPr>
              <w:t>Independent self-study of specially prepared materials (case studies, multi-media, study guides etc.)</w:t>
            </w:r>
          </w:p>
        </w:tc>
        <w:tc>
          <w:tcPr>
            <w:tcW w:w="1275" w:type="dxa"/>
          </w:tcPr>
          <w:p w:rsidR="001744C9" w:rsidRPr="00D36701" w:rsidRDefault="000700FC" w:rsidP="001744C9">
            <w:pPr>
              <w:jc w:val="center"/>
              <w:rPr>
                <w:rFonts w:asciiTheme="minorHAnsi" w:hAnsiTheme="minorHAnsi" w:cs="Arial"/>
                <w:sz w:val="20"/>
                <w:lang w:val="en-GB"/>
              </w:rPr>
            </w:pPr>
            <w:r>
              <w:rPr>
                <w:rFonts w:asciiTheme="minorHAnsi" w:hAnsiTheme="minorHAnsi" w:cs="Arial"/>
                <w:sz w:val="20"/>
                <w:lang w:val="en-GB"/>
              </w:rPr>
              <w:t>37</w:t>
            </w:r>
            <w:r w:rsidR="001744C9" w:rsidRPr="00605B5F">
              <w:rPr>
                <w:rFonts w:asciiTheme="minorHAnsi" w:hAnsiTheme="minorHAnsi" w:cs="Arial"/>
                <w:sz w:val="20"/>
                <w:lang w:val="en-GB"/>
              </w:rPr>
              <w:t xml:space="preserve">% </w:t>
            </w:r>
            <w:r w:rsidR="001744C9">
              <w:rPr>
                <w:rFonts w:asciiTheme="minorHAnsi" w:hAnsiTheme="minorHAnsi" w:cs="Arial"/>
                <w:sz w:val="20"/>
                <w:lang w:val="en-GB"/>
              </w:rPr>
              <w:br/>
            </w:r>
            <w:r w:rsidR="007A079E">
              <w:rPr>
                <w:rFonts w:asciiTheme="minorHAnsi" w:hAnsiTheme="minorHAnsi" w:cs="Arial"/>
                <w:sz w:val="20"/>
                <w:lang w:val="en-GB"/>
              </w:rPr>
              <w:t>[130</w:t>
            </w:r>
            <w:r w:rsidR="001744C9" w:rsidRPr="00605B5F">
              <w:rPr>
                <w:rFonts w:asciiTheme="minorHAnsi" w:hAnsiTheme="minorHAnsi" w:cs="Arial"/>
                <w:sz w:val="20"/>
                <w:lang w:val="en-GB"/>
              </w:rPr>
              <w:t>h per semester].</w:t>
            </w:r>
          </w:p>
        </w:tc>
        <w:tc>
          <w:tcPr>
            <w:tcW w:w="3828" w:type="dxa"/>
          </w:tcPr>
          <w:p w:rsidR="001744C9" w:rsidRPr="00605B5F" w:rsidRDefault="001744C9" w:rsidP="00D36701">
            <w:pPr>
              <w:rPr>
                <w:rFonts w:cs="Arial"/>
                <w:sz w:val="20"/>
                <w:lang w:val="en-GB"/>
              </w:rPr>
            </w:pPr>
          </w:p>
        </w:tc>
      </w:tr>
      <w:tr w:rsidR="001744C9">
        <w:tc>
          <w:tcPr>
            <w:tcW w:w="3936" w:type="dxa"/>
          </w:tcPr>
          <w:p w:rsidR="001744C9" w:rsidRPr="00605B5F" w:rsidRDefault="001744C9" w:rsidP="00636FB7">
            <w:pPr>
              <w:jc w:val="left"/>
              <w:rPr>
                <w:rFonts w:asciiTheme="minorHAnsi" w:eastAsia="+mn-ea" w:hAnsiTheme="minorHAnsi" w:cs="Arial"/>
                <w:bCs/>
                <w:sz w:val="20"/>
                <w:lang w:val="en-GB"/>
              </w:rPr>
            </w:pPr>
            <w:r w:rsidRPr="00605B5F">
              <w:rPr>
                <w:rFonts w:asciiTheme="minorHAnsi" w:eastAsia="+mn-ea" w:hAnsiTheme="minorHAnsi" w:cs="Arial"/>
                <w:bCs/>
                <w:sz w:val="20"/>
                <w:lang w:val="en-GB"/>
              </w:rPr>
              <w:t xml:space="preserve">Other </w:t>
            </w:r>
          </w:p>
        </w:tc>
        <w:tc>
          <w:tcPr>
            <w:tcW w:w="1275" w:type="dxa"/>
          </w:tcPr>
          <w:p w:rsidR="001744C9" w:rsidRPr="00552232" w:rsidRDefault="001744C9" w:rsidP="001744C9">
            <w:pPr>
              <w:jc w:val="center"/>
              <w:rPr>
                <w:rFonts w:asciiTheme="minorHAnsi" w:hAnsiTheme="minorHAnsi" w:cs="Arial"/>
                <w:sz w:val="20"/>
              </w:rPr>
            </w:pPr>
            <w:r w:rsidRPr="00552232">
              <w:rPr>
                <w:rFonts w:asciiTheme="minorHAnsi" w:hAnsiTheme="minorHAnsi" w:cs="Arial"/>
                <w:sz w:val="20"/>
              </w:rPr>
              <w:t>0</w:t>
            </w:r>
          </w:p>
        </w:tc>
        <w:tc>
          <w:tcPr>
            <w:tcW w:w="3828" w:type="dxa"/>
          </w:tcPr>
          <w:p w:rsidR="001744C9" w:rsidRPr="00552232" w:rsidRDefault="001744C9" w:rsidP="00605B5F">
            <w:pPr>
              <w:rPr>
                <w:rFonts w:cs="Arial"/>
                <w:sz w:val="20"/>
              </w:rPr>
            </w:pPr>
          </w:p>
        </w:tc>
      </w:tr>
      <w:tr w:rsidR="001744C9">
        <w:tc>
          <w:tcPr>
            <w:tcW w:w="9039" w:type="dxa"/>
            <w:gridSpan w:val="3"/>
          </w:tcPr>
          <w:p w:rsidR="001744C9" w:rsidRPr="00552232" w:rsidRDefault="001744C9" w:rsidP="009537C3">
            <w:pPr>
              <w:pStyle w:val="ListParagraph"/>
              <w:numPr>
                <w:ilvl w:val="0"/>
                <w:numId w:val="17"/>
              </w:numPr>
              <w:jc w:val="left"/>
              <w:rPr>
                <w:rFonts w:asciiTheme="minorHAnsi" w:hAnsiTheme="minorHAnsi" w:cs="Arial"/>
                <w:sz w:val="20"/>
                <w:lang w:val="en-GB"/>
              </w:rPr>
            </w:pPr>
            <w:r w:rsidRPr="00552232">
              <w:rPr>
                <w:rFonts w:asciiTheme="minorHAnsi" w:eastAsia="+mn-ea" w:hAnsiTheme="minorHAnsi" w:cs="Arial"/>
                <w:bCs/>
                <w:sz w:val="20"/>
                <w:lang w:val="en-GB"/>
              </w:rPr>
              <w:t>Students receive study materials on completion of registration.</w:t>
            </w:r>
          </w:p>
          <w:p w:rsidR="001744C9" w:rsidRPr="001744C9" w:rsidRDefault="001744C9" w:rsidP="009537C3">
            <w:pPr>
              <w:pStyle w:val="ListParagraph"/>
              <w:numPr>
                <w:ilvl w:val="0"/>
                <w:numId w:val="17"/>
              </w:numPr>
              <w:jc w:val="left"/>
              <w:rPr>
                <w:rFonts w:asciiTheme="minorHAnsi" w:eastAsia="+mn-ea" w:hAnsiTheme="minorHAnsi" w:cs="Arial"/>
                <w:bCs/>
                <w:sz w:val="20"/>
                <w:lang w:val="en-GB"/>
              </w:rPr>
            </w:pPr>
            <w:r w:rsidRPr="00552232">
              <w:rPr>
                <w:rFonts w:asciiTheme="minorHAnsi" w:eastAsia="+mn-ea" w:hAnsiTheme="minorHAnsi" w:cs="Arial"/>
                <w:bCs/>
                <w:sz w:val="20"/>
                <w:lang w:val="en-GB"/>
              </w:rPr>
              <w:t>Students attend a 1-week orientation</w:t>
            </w:r>
            <w:r w:rsidR="009537C3">
              <w:rPr>
                <w:rFonts w:asciiTheme="minorHAnsi" w:eastAsia="+mn-ea" w:hAnsiTheme="minorHAnsi" w:cs="Arial"/>
                <w:bCs/>
                <w:sz w:val="20"/>
                <w:lang w:val="en-GB"/>
              </w:rPr>
              <w:t xml:space="preserve"> to the Programme. </w:t>
            </w:r>
          </w:p>
          <w:p w:rsidR="009537C3" w:rsidRPr="009537C3" w:rsidRDefault="001744C9" w:rsidP="009537C3">
            <w:pPr>
              <w:pStyle w:val="ListParagraph"/>
              <w:numPr>
                <w:ilvl w:val="0"/>
                <w:numId w:val="17"/>
              </w:numPr>
              <w:jc w:val="left"/>
              <w:rPr>
                <w:rFonts w:cs="Arial"/>
                <w:sz w:val="20"/>
              </w:rPr>
            </w:pPr>
            <w:r w:rsidRPr="001744C9">
              <w:rPr>
                <w:rFonts w:asciiTheme="minorHAnsi" w:eastAsia="+mn-ea" w:hAnsiTheme="minorHAnsi" w:cs="Arial"/>
                <w:bCs/>
                <w:sz w:val="20"/>
                <w:lang w:val="en-GB"/>
              </w:rPr>
              <w:t>The bulk of the teaching and learning interact</w:t>
            </w:r>
            <w:r w:rsidR="009537C3">
              <w:rPr>
                <w:rFonts w:asciiTheme="minorHAnsi" w:eastAsia="+mn-ea" w:hAnsiTheme="minorHAnsi" w:cs="Arial"/>
                <w:bCs/>
                <w:sz w:val="20"/>
                <w:lang w:val="en-GB"/>
              </w:rPr>
              <w:t xml:space="preserve">ion is electronically mediated. </w:t>
            </w:r>
            <w:r w:rsidRPr="001744C9">
              <w:rPr>
                <w:rFonts w:asciiTheme="minorHAnsi" w:eastAsia="+mn-ea" w:hAnsiTheme="minorHAnsi" w:cs="Arial"/>
                <w:bCs/>
                <w:sz w:val="20"/>
                <w:lang w:val="en-GB"/>
              </w:rPr>
              <w:t>The platform allows for email communication, asynchronous discussion forums, access to digital copies of</w:t>
            </w:r>
            <w:r w:rsidR="009537C3">
              <w:rPr>
                <w:rFonts w:asciiTheme="minorHAnsi" w:eastAsia="+mn-ea" w:hAnsiTheme="minorHAnsi" w:cs="Arial"/>
                <w:bCs/>
                <w:sz w:val="20"/>
                <w:lang w:val="en-GB"/>
              </w:rPr>
              <w:t xml:space="preserve"> specifically developed </w:t>
            </w:r>
            <w:r w:rsidRPr="001744C9">
              <w:rPr>
                <w:rFonts w:asciiTheme="minorHAnsi" w:eastAsia="+mn-ea" w:hAnsiTheme="minorHAnsi" w:cs="Arial"/>
                <w:bCs/>
                <w:sz w:val="20"/>
                <w:lang w:val="en-GB"/>
              </w:rPr>
              <w:t>learning resources, and submission and return of assignments.</w:t>
            </w:r>
          </w:p>
          <w:p w:rsidR="001744C9" w:rsidRPr="009537C3" w:rsidRDefault="009537C3" w:rsidP="009537C3">
            <w:pPr>
              <w:pStyle w:val="ListParagraph"/>
              <w:numPr>
                <w:ilvl w:val="0"/>
                <w:numId w:val="17"/>
              </w:numPr>
              <w:jc w:val="left"/>
              <w:rPr>
                <w:rFonts w:asciiTheme="minorHAnsi" w:eastAsia="+mn-ea" w:hAnsiTheme="minorHAnsi" w:cs="Arial"/>
                <w:bCs/>
                <w:sz w:val="20"/>
                <w:lang w:val="en-GB"/>
              </w:rPr>
            </w:pPr>
            <w:r>
              <w:rPr>
                <w:rFonts w:asciiTheme="minorHAnsi" w:eastAsia="+mn-ea" w:hAnsiTheme="minorHAnsi" w:cs="Arial"/>
                <w:bCs/>
                <w:sz w:val="20"/>
                <w:lang w:val="en-GB"/>
              </w:rPr>
              <w:t xml:space="preserve">Students participate in </w:t>
            </w:r>
            <w:r w:rsidRPr="00552232">
              <w:rPr>
                <w:rFonts w:asciiTheme="minorHAnsi" w:eastAsia="+mn-ea" w:hAnsiTheme="minorHAnsi" w:cs="Arial"/>
                <w:bCs/>
                <w:sz w:val="20"/>
                <w:lang w:val="en-GB"/>
              </w:rPr>
              <w:t xml:space="preserve">fortnightly </w:t>
            </w:r>
            <w:r>
              <w:rPr>
                <w:rFonts w:asciiTheme="minorHAnsi" w:eastAsia="+mn-ea" w:hAnsiTheme="minorHAnsi" w:cs="Arial"/>
                <w:bCs/>
                <w:sz w:val="20"/>
                <w:lang w:val="en-GB"/>
              </w:rPr>
              <w:t xml:space="preserve">contact sessions </w:t>
            </w:r>
            <w:r w:rsidRPr="00552232">
              <w:rPr>
                <w:rFonts w:asciiTheme="minorHAnsi" w:eastAsia="+mn-ea" w:hAnsiTheme="minorHAnsi" w:cs="Arial"/>
                <w:bCs/>
                <w:sz w:val="20"/>
                <w:lang w:val="en-GB"/>
              </w:rPr>
              <w:t>at the main or any of the satellite campuses. A schedule of discussion topics is included in student study materials.</w:t>
            </w:r>
          </w:p>
        </w:tc>
      </w:tr>
    </w:tbl>
    <w:p w:rsidR="008F54A0" w:rsidRDefault="008F54A0" w:rsidP="0043585D">
      <w:pPr>
        <w:pStyle w:val="Heading3"/>
        <w:spacing w:before="360"/>
        <w:rPr>
          <w:sz w:val="24"/>
          <w:szCs w:val="26"/>
        </w:rPr>
      </w:pPr>
    </w:p>
    <w:p w:rsidR="008F54A0" w:rsidRDefault="008F54A0" w:rsidP="0043585D">
      <w:pPr>
        <w:pStyle w:val="Heading3"/>
        <w:spacing w:before="360"/>
        <w:rPr>
          <w:sz w:val="24"/>
          <w:szCs w:val="26"/>
        </w:rPr>
      </w:pPr>
    </w:p>
    <w:p w:rsidR="00637B52" w:rsidRPr="00BE1307" w:rsidRDefault="00637B52" w:rsidP="0043585D">
      <w:pPr>
        <w:pStyle w:val="Heading3"/>
        <w:spacing w:before="360"/>
        <w:rPr>
          <w:sz w:val="24"/>
          <w:szCs w:val="26"/>
        </w:rPr>
      </w:pPr>
      <w:r w:rsidRPr="00BE1307">
        <w:rPr>
          <w:sz w:val="24"/>
          <w:szCs w:val="26"/>
        </w:rPr>
        <w:t>Programme Timeline</w:t>
      </w:r>
    </w:p>
    <w:p w:rsidR="00B41C64" w:rsidRDefault="00485B0A" w:rsidP="00B41C64">
      <w:r>
        <w:rPr>
          <w:noProof/>
          <w:lang w:val="en-US" w:eastAsia="en-US"/>
        </w:rPr>
        <w:drawing>
          <wp:anchor distT="0" distB="0" distL="114300" distR="114300" simplePos="0" relativeHeight="251670528" behindDoc="0" locked="0" layoutInCell="1" allowOverlap="1">
            <wp:simplePos x="0" y="0"/>
            <wp:positionH relativeFrom="column">
              <wp:posOffset>-228600</wp:posOffset>
            </wp:positionH>
            <wp:positionV relativeFrom="paragraph">
              <wp:posOffset>441325</wp:posOffset>
            </wp:positionV>
            <wp:extent cx="5824855" cy="4436110"/>
            <wp:effectExtent l="25400" t="0" r="0" b="0"/>
            <wp:wrapTight wrapText="bothSides">
              <wp:wrapPolygon edited="0">
                <wp:start x="-94" y="0"/>
                <wp:lineTo x="-94" y="21520"/>
                <wp:lineTo x="21569" y="21520"/>
                <wp:lineTo x="21569" y="0"/>
                <wp:lineTo x="-9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824855" cy="4436110"/>
                    </a:xfrm>
                    <a:prstGeom prst="rect">
                      <a:avLst/>
                    </a:prstGeom>
                    <a:noFill/>
                    <a:ln w="9525">
                      <a:noFill/>
                      <a:miter lim="800000"/>
                      <a:headEnd/>
                      <a:tailEnd/>
                    </a:ln>
                  </pic:spPr>
                </pic:pic>
              </a:graphicData>
            </a:graphic>
          </wp:anchor>
        </w:drawing>
      </w:r>
      <w:r w:rsidR="00552232" w:rsidRPr="00352627">
        <w:t xml:space="preserve">The </w:t>
      </w:r>
      <w:r w:rsidR="0043585D">
        <w:t xml:space="preserve">table below shows </w:t>
      </w:r>
      <w:r w:rsidR="00C71932">
        <w:t xml:space="preserve">a </w:t>
      </w:r>
      <w:r w:rsidR="0043585D">
        <w:t xml:space="preserve">semester </w:t>
      </w:r>
      <w:r w:rsidR="00C71932">
        <w:t xml:space="preserve">timeline </w:t>
      </w:r>
      <w:r w:rsidR="00352627" w:rsidRPr="00352627">
        <w:t xml:space="preserve">of learning and assessment activities </w:t>
      </w:r>
      <w:r w:rsidR="0043585D">
        <w:t>including contact sessions. S</w:t>
      </w:r>
      <w:r w:rsidR="00B41C64">
        <w:t xml:space="preserve">tudents study </w:t>
      </w:r>
      <w:r w:rsidR="0043585D">
        <w:t>2 modules per semester</w:t>
      </w:r>
      <w:r w:rsidR="00C71932">
        <w:t xml:space="preserve"> and participate in six</w:t>
      </w:r>
      <w:r w:rsidR="000700FC">
        <w:t xml:space="preserve"> contact sessions p</w:t>
      </w:r>
      <w:r w:rsidR="00543939">
        <w:t xml:space="preserve">er module. </w:t>
      </w:r>
    </w:p>
    <w:p w:rsidR="00352627" w:rsidRPr="009C6E60" w:rsidRDefault="009C6E60" w:rsidP="009C6E60">
      <w:pPr>
        <w:rPr>
          <w:sz w:val="18"/>
        </w:rPr>
      </w:pPr>
      <w:r w:rsidRPr="009C6E60">
        <w:rPr>
          <w:sz w:val="18"/>
        </w:rPr>
        <w:t>Diagram 4</w:t>
      </w:r>
      <w:r w:rsidR="0043585D" w:rsidRPr="009C6E60">
        <w:rPr>
          <w:sz w:val="18"/>
        </w:rPr>
        <w:t xml:space="preserve">: Timeline of learning and assessment activities for a semester </w:t>
      </w:r>
    </w:p>
    <w:p w:rsidR="001E0427" w:rsidRDefault="001E0427" w:rsidP="001E0427">
      <w:pPr>
        <w:pStyle w:val="Heading1"/>
        <w:spacing w:before="360" w:after="240"/>
      </w:pPr>
      <w:r>
        <w:t>Assessment</w:t>
      </w:r>
    </w:p>
    <w:p w:rsidR="001E0427" w:rsidRDefault="001E0427" w:rsidP="001E0427">
      <w:pPr>
        <w:pStyle w:val="ListParagraph"/>
        <w:ind w:left="0"/>
      </w:pPr>
      <w:r>
        <w:t xml:space="preserve">The </w:t>
      </w:r>
      <w:r w:rsidR="00CF2A03">
        <w:rPr>
          <w:rStyle w:val="FootnoteReference"/>
        </w:rPr>
        <w:footnoteReference w:id="8"/>
      </w:r>
      <w:r>
        <w:t xml:space="preserve">methods of assessment support the student’s understanding of key learning and teaching principles and practice. The focus is on helping students to implement in practice what they are learning and to learn from their practice. Assessment is continuous and the students will keep a record of evidence of their teaching practice in their e-portfolio. Items included in the e-portfolio are: examples of student learning session plans; examples of successful learning activities with analytical commentary; examples of learning activities that were not successful with analytical commentary; examples of assessment tasks; examples of student graded assessment tasks; </w:t>
      </w:r>
      <w:r>
        <w:lastRenderedPageBreak/>
        <w:t xml:space="preserve">reflection on student assessment results; and reflections on own performance and practice in a learning journal. </w:t>
      </w:r>
    </w:p>
    <w:p w:rsidR="001E0427" w:rsidRDefault="001E0427" w:rsidP="001E0427">
      <w:pPr>
        <w:pStyle w:val="ListParagraph"/>
        <w:ind w:left="0"/>
      </w:pPr>
    </w:p>
    <w:p w:rsidR="002873FA" w:rsidRDefault="002873FA" w:rsidP="002873FA">
      <w:pPr>
        <w:pStyle w:val="ListParagraph"/>
        <w:ind w:left="0"/>
      </w:pPr>
      <w:r>
        <w:t>Each module in the H</w:t>
      </w:r>
      <w:r w:rsidR="00CF2A03">
        <w:t xml:space="preserve">CE </w:t>
      </w:r>
      <w:r w:rsidR="00485B0A">
        <w:t xml:space="preserve">typically comprises </w:t>
      </w:r>
      <w:r>
        <w:t>eight formative assessment tasks linked to face-to-face contact sessions, online discussions and/or classroom practice counting for 50% of the final module mark.</w:t>
      </w:r>
      <w:r w:rsidR="00994561">
        <w:t xml:space="preserve"> The formative assessment tasks can be flexibly configured: they can be a series of</w:t>
      </w:r>
      <w:r w:rsidR="00451CED">
        <w:t xml:space="preserve"> </w:t>
      </w:r>
      <w:r w:rsidR="00994561">
        <w:t xml:space="preserve">four sub-tasks linked to a specific assignment or they can be individual tasks. </w:t>
      </w:r>
    </w:p>
    <w:p w:rsidR="002873FA" w:rsidRDefault="002873FA" w:rsidP="002873FA">
      <w:pPr>
        <w:pStyle w:val="ListParagraph"/>
        <w:ind w:left="0"/>
      </w:pPr>
    </w:p>
    <w:p w:rsidR="002873FA" w:rsidRDefault="002873FA" w:rsidP="002873FA">
      <w:pPr>
        <w:pStyle w:val="ListParagraph"/>
        <w:ind w:left="0"/>
      </w:pPr>
      <w:r>
        <w:t>Each module in the Higher Certificate also involve</w:t>
      </w:r>
      <w:r w:rsidR="00451CED">
        <w:t>s</w:t>
      </w:r>
      <w:r>
        <w:t xml:space="preserve"> a </w:t>
      </w:r>
      <w:r w:rsidR="001E0427">
        <w:rPr>
          <w:rStyle w:val="FootnoteReference"/>
        </w:rPr>
        <w:footnoteReference w:id="9"/>
      </w:r>
      <w:r>
        <w:t>proctored summative asse</w:t>
      </w:r>
      <w:r w:rsidR="001E0427">
        <w:t xml:space="preserve">ssment task of a consolidating </w:t>
      </w:r>
      <w:r>
        <w:t>nature linked to face-to-face contact sessions, online discussions and/or classroom practice counting for 50% of the final module mark.</w:t>
      </w:r>
    </w:p>
    <w:p w:rsidR="00B65B12" w:rsidRDefault="00B65B12" w:rsidP="002873FA">
      <w:pPr>
        <w:pStyle w:val="ListParagraph"/>
        <w:ind w:left="0"/>
      </w:pPr>
    </w:p>
    <w:p w:rsidR="00B65B12" w:rsidRDefault="00B65B12" w:rsidP="002873FA">
      <w:pPr>
        <w:pStyle w:val="ListParagraph"/>
        <w:ind w:left="0"/>
      </w:pPr>
      <w:r w:rsidRPr="00B65B12">
        <w:t>A combinati</w:t>
      </w:r>
      <w:r w:rsidR="00451CED">
        <w:t>on of both written English and South African Sign L</w:t>
      </w:r>
      <w:r w:rsidRPr="00B65B12">
        <w:t>anguage evidence of competence will be required for all assessment tasks</w:t>
      </w:r>
      <w:r>
        <w:t xml:space="preserve">. This accommodation removes unnecessary </w:t>
      </w:r>
      <w:r w:rsidR="0035023E">
        <w:t xml:space="preserve">barriers </w:t>
      </w:r>
      <w:r>
        <w:t>and offers students a fair chance of demonstrating their developing competence</w:t>
      </w:r>
      <w:r w:rsidR="00451CED">
        <w:t>s</w:t>
      </w:r>
      <w:r>
        <w:t xml:space="preserve">. </w:t>
      </w:r>
    </w:p>
    <w:p w:rsidR="002873FA" w:rsidRDefault="002873FA" w:rsidP="002873FA">
      <w:pPr>
        <w:pStyle w:val="ListParagraph"/>
        <w:ind w:left="0"/>
      </w:pPr>
    </w:p>
    <w:p w:rsidR="002873FA" w:rsidRDefault="002873FA" w:rsidP="002873FA">
      <w:pPr>
        <w:pStyle w:val="ListParagraph"/>
        <w:ind w:left="0"/>
      </w:pPr>
      <w:r>
        <w:t>The ongoing portfolio of evidence constitute</w:t>
      </w:r>
      <w:r w:rsidR="00B65B12">
        <w:t>s</w:t>
      </w:r>
      <w:r>
        <w:t xml:space="preserve"> an additional requirement aimed at helping students to see the programme more holistically; as a basis for ongoing further professional reflection and development</w:t>
      </w:r>
      <w:r w:rsidR="001E0427">
        <w:t>;</w:t>
      </w:r>
      <w:r>
        <w:t xml:space="preserve"> and as the basis for engagement with the South African Council for Educators (SACE) for those who pursue further formal studies in teacher education programmes recognised for employment and registration as </w:t>
      </w:r>
      <w:r w:rsidR="00DA43E5">
        <w:t>qualified teachers</w:t>
      </w:r>
      <w:r>
        <w:t>.</w:t>
      </w:r>
    </w:p>
    <w:p w:rsidR="002873FA" w:rsidRDefault="00474D52" w:rsidP="00474D52">
      <w:r w:rsidRPr="00474D52">
        <w:t xml:space="preserve">Although each module in the qualification </w:t>
      </w:r>
      <w:r w:rsidR="00B65B12">
        <w:t xml:space="preserve">is </w:t>
      </w:r>
      <w:r w:rsidRPr="00474D52">
        <w:t>assessed independently, all modules model the development of a prospective teacher as a reflective practitioner. This involves engaging students in an iterative process of reflection on questions such as the following: What should I do and why? What did I do and why? What will I do differently next time and why? The</w:t>
      </w:r>
      <w:r w:rsidR="00B65B12">
        <w:t xml:space="preserve"> answers to these questions are </w:t>
      </w:r>
      <w:r w:rsidRPr="00474D52">
        <w:t>captured in an e</w:t>
      </w:r>
      <w:r w:rsidR="001E0427">
        <w:t>-</w:t>
      </w:r>
      <w:r w:rsidRPr="00474D52">
        <w:t xml:space="preserve">portfolio of evidence of competence that </w:t>
      </w:r>
      <w:r w:rsidR="00B65B12">
        <w:t xml:space="preserve">is </w:t>
      </w:r>
      <w:r w:rsidRPr="00474D52">
        <w:t>develo</w:t>
      </w:r>
      <w:r w:rsidR="00451CED">
        <w:t>ped across the duration of the P</w:t>
      </w:r>
      <w:r w:rsidRPr="00474D52">
        <w:t>rogramme.</w:t>
      </w:r>
    </w:p>
    <w:p w:rsidR="002873FA" w:rsidRPr="009E34FE" w:rsidRDefault="002873FA" w:rsidP="002873FA">
      <w:pPr>
        <w:pStyle w:val="Heading1"/>
        <w:spacing w:before="360" w:after="240"/>
      </w:pPr>
      <w:r>
        <w:t>Programme Delivery Mode</w:t>
      </w:r>
    </w:p>
    <w:p w:rsidR="002873FA" w:rsidRPr="007F4349" w:rsidRDefault="00356987" w:rsidP="007F4349">
      <w:pPr>
        <w:rPr>
          <w:lang w:val="en-GB"/>
        </w:rPr>
      </w:pPr>
      <w:r w:rsidRPr="00D1483E">
        <w:rPr>
          <w:lang w:val="en-GB"/>
        </w:rPr>
        <w:t xml:space="preserve">The </w:t>
      </w:r>
      <w:r w:rsidR="00442830">
        <w:rPr>
          <w:lang w:val="en-GB"/>
        </w:rPr>
        <w:t>HCE</w:t>
      </w:r>
      <w:r>
        <w:rPr>
          <w:lang w:val="en-GB"/>
        </w:rPr>
        <w:t xml:space="preserve"> uses a </w:t>
      </w:r>
      <w:r w:rsidR="005A64E8">
        <w:rPr>
          <w:rStyle w:val="FootnoteReference"/>
          <w:lang w:val="en-GB"/>
        </w:rPr>
        <w:footnoteReference w:id="10"/>
      </w:r>
      <w:r>
        <w:rPr>
          <w:lang w:val="en-GB"/>
        </w:rPr>
        <w:t xml:space="preserve">supported e-learning mode that offers prospective students the </w:t>
      </w:r>
      <w:r w:rsidR="00994561" w:rsidRPr="00D1483E">
        <w:rPr>
          <w:lang w:val="en-GB"/>
        </w:rPr>
        <w:t>flexibility of learning in their own space and time</w:t>
      </w:r>
      <w:r w:rsidR="00994561">
        <w:rPr>
          <w:lang w:val="en-GB"/>
        </w:rPr>
        <w:t xml:space="preserve"> and enables them </w:t>
      </w:r>
      <w:r w:rsidR="005A64E8">
        <w:rPr>
          <w:lang w:val="en-GB"/>
        </w:rPr>
        <w:t xml:space="preserve">to </w:t>
      </w:r>
      <w:r w:rsidR="005A64E8" w:rsidRPr="00D1483E">
        <w:rPr>
          <w:lang w:val="en-GB"/>
        </w:rPr>
        <w:t>integrate their studies with the demands of their work and personal responsibilities</w:t>
      </w:r>
      <w:r w:rsidR="00994561">
        <w:rPr>
          <w:lang w:val="en-GB"/>
        </w:rPr>
        <w:t xml:space="preserve">. </w:t>
      </w:r>
      <w:r w:rsidR="002873FA">
        <w:t xml:space="preserve">The supported e-learning mode offers </w:t>
      </w:r>
      <w:r w:rsidR="002873FA" w:rsidRPr="0071609E">
        <w:t xml:space="preserve">a blended learning </w:t>
      </w:r>
      <w:r w:rsidR="002873FA">
        <w:t xml:space="preserve">approach </w:t>
      </w:r>
      <w:r w:rsidR="002873FA" w:rsidRPr="0071609E">
        <w:t>that combines digitally supported learning with appropriate face-to-face support provided by trained facilitators. Th</w:t>
      </w:r>
      <w:r w:rsidR="002873FA">
        <w:t xml:space="preserve">is mode of delivery </w:t>
      </w:r>
      <w:r w:rsidR="002873FA" w:rsidRPr="0071609E">
        <w:t>is characterized by:</w:t>
      </w:r>
    </w:p>
    <w:p w:rsidR="002873FA" w:rsidRPr="00BE1307" w:rsidRDefault="00451CED" w:rsidP="00BE1307">
      <w:pPr>
        <w:pStyle w:val="Heading3"/>
        <w:spacing w:before="360"/>
        <w:rPr>
          <w:sz w:val="24"/>
          <w:szCs w:val="26"/>
        </w:rPr>
      </w:pPr>
      <w:r>
        <w:rPr>
          <w:sz w:val="24"/>
          <w:szCs w:val="26"/>
        </w:rPr>
        <w:lastRenderedPageBreak/>
        <w:t>A well-designed online Learning P</w:t>
      </w:r>
      <w:r w:rsidR="002873FA" w:rsidRPr="00BE1307">
        <w:rPr>
          <w:sz w:val="24"/>
          <w:szCs w:val="26"/>
        </w:rPr>
        <w:t>athway linked to appropriate resources available on the C</w:t>
      </w:r>
      <w:r>
        <w:rPr>
          <w:sz w:val="24"/>
          <w:szCs w:val="26"/>
        </w:rPr>
        <w:t>anvas Learner Management System</w:t>
      </w:r>
    </w:p>
    <w:p w:rsidR="002873FA" w:rsidRPr="00B11242" w:rsidRDefault="002873FA" w:rsidP="00404B7A">
      <w:pPr>
        <w:pStyle w:val="ListParagraph"/>
        <w:spacing w:before="120"/>
        <w:ind w:left="0"/>
      </w:pPr>
      <w:r>
        <w:t xml:space="preserve">The students use their own devices and Internet </w:t>
      </w:r>
      <w:r w:rsidR="00451CED">
        <w:t>connections to engage with the Learning P</w:t>
      </w:r>
      <w:r>
        <w:t>athway on the Canvas LMS and interact with their facilitator and peers online and offline. The following t</w:t>
      </w:r>
      <w:r w:rsidRPr="00B11242">
        <w:t>ools for managing and pr</w:t>
      </w:r>
      <w:r>
        <w:t>omoting learning are integrated on the LMS:</w:t>
      </w:r>
    </w:p>
    <w:p w:rsidR="002873FA" w:rsidRPr="00B11242" w:rsidRDefault="00451CED" w:rsidP="0074496E">
      <w:pPr>
        <w:pStyle w:val="ListParagraph"/>
        <w:numPr>
          <w:ilvl w:val="0"/>
          <w:numId w:val="13"/>
        </w:numPr>
        <w:spacing w:after="240"/>
        <w:ind w:left="717"/>
      </w:pPr>
      <w:r>
        <w:t>Learning P</w:t>
      </w:r>
      <w:r w:rsidR="002873FA" w:rsidRPr="00B11242">
        <w:t>athway management;</w:t>
      </w:r>
    </w:p>
    <w:p w:rsidR="002873FA" w:rsidRPr="00B11242" w:rsidRDefault="002873FA" w:rsidP="0074496E">
      <w:pPr>
        <w:pStyle w:val="ListParagraph"/>
        <w:numPr>
          <w:ilvl w:val="0"/>
          <w:numId w:val="13"/>
        </w:numPr>
        <w:spacing w:after="240"/>
        <w:ind w:left="717"/>
      </w:pPr>
      <w:r w:rsidRPr="00B11242">
        <w:t>Resource management;</w:t>
      </w:r>
    </w:p>
    <w:p w:rsidR="002873FA" w:rsidRPr="00B11242" w:rsidRDefault="002873FA" w:rsidP="0074496E">
      <w:pPr>
        <w:pStyle w:val="ListParagraph"/>
        <w:numPr>
          <w:ilvl w:val="0"/>
          <w:numId w:val="13"/>
        </w:numPr>
        <w:spacing w:after="240"/>
        <w:ind w:left="717"/>
      </w:pPr>
      <w:r w:rsidRPr="00B11242">
        <w:t>User logging and tracking;</w:t>
      </w:r>
    </w:p>
    <w:p w:rsidR="002873FA" w:rsidRPr="00B11242" w:rsidRDefault="002873FA" w:rsidP="0074496E">
      <w:pPr>
        <w:pStyle w:val="ListParagraph"/>
        <w:numPr>
          <w:ilvl w:val="0"/>
          <w:numId w:val="13"/>
        </w:numPr>
        <w:spacing w:after="240"/>
        <w:ind w:left="717"/>
      </w:pPr>
      <w:r w:rsidRPr="00B11242">
        <w:t xml:space="preserve">Assessment management; </w:t>
      </w:r>
    </w:p>
    <w:p w:rsidR="002873FA" w:rsidRPr="00220AF2" w:rsidRDefault="002873FA" w:rsidP="0074496E">
      <w:pPr>
        <w:pStyle w:val="ListParagraph"/>
        <w:numPr>
          <w:ilvl w:val="0"/>
          <w:numId w:val="13"/>
        </w:numPr>
        <w:spacing w:after="240"/>
        <w:ind w:left="717"/>
      </w:pPr>
      <w:r w:rsidRPr="00B11242">
        <w:t>Communication tools;</w:t>
      </w:r>
    </w:p>
    <w:p w:rsidR="002873FA" w:rsidRPr="00220AF2" w:rsidRDefault="002873FA" w:rsidP="0074496E">
      <w:pPr>
        <w:pStyle w:val="ListParagraph"/>
        <w:numPr>
          <w:ilvl w:val="0"/>
          <w:numId w:val="13"/>
        </w:numPr>
        <w:spacing w:after="240"/>
        <w:ind w:left="717"/>
      </w:pPr>
      <w:r w:rsidRPr="00B11242">
        <w:t>Video integration;</w:t>
      </w:r>
    </w:p>
    <w:p w:rsidR="002873FA" w:rsidRPr="00220AF2" w:rsidRDefault="002873FA" w:rsidP="0074496E">
      <w:pPr>
        <w:pStyle w:val="ListParagraph"/>
        <w:numPr>
          <w:ilvl w:val="0"/>
          <w:numId w:val="13"/>
        </w:numPr>
        <w:spacing w:after="240"/>
        <w:ind w:left="717"/>
      </w:pPr>
      <w:r w:rsidRPr="00B11242">
        <w:t>Assessment and rubrics;</w:t>
      </w:r>
    </w:p>
    <w:p w:rsidR="002873FA" w:rsidRPr="00B11242" w:rsidRDefault="002873FA" w:rsidP="0074496E">
      <w:pPr>
        <w:pStyle w:val="ListParagraph"/>
        <w:numPr>
          <w:ilvl w:val="0"/>
          <w:numId w:val="13"/>
        </w:numPr>
        <w:spacing w:after="240"/>
        <w:ind w:left="717"/>
      </w:pPr>
      <w:r w:rsidRPr="00B11242">
        <w:t xml:space="preserve">Facilitator journaling; </w:t>
      </w:r>
    </w:p>
    <w:p w:rsidR="002873FA" w:rsidRDefault="002873FA" w:rsidP="0074496E">
      <w:pPr>
        <w:pStyle w:val="ListParagraph"/>
        <w:numPr>
          <w:ilvl w:val="0"/>
          <w:numId w:val="13"/>
        </w:numPr>
        <w:spacing w:after="240"/>
        <w:ind w:left="717"/>
      </w:pPr>
      <w:r w:rsidRPr="00B11242">
        <w:t>Student e-Portfolio management.</w:t>
      </w:r>
    </w:p>
    <w:p w:rsidR="00356987" w:rsidRPr="00356987" w:rsidRDefault="005A64E8" w:rsidP="007F4349">
      <w:pPr>
        <w:rPr>
          <w:lang w:val="en-GB"/>
        </w:rPr>
      </w:pPr>
      <w:r>
        <w:rPr>
          <w:lang w:val="en-GB"/>
        </w:rPr>
        <w:t xml:space="preserve">Students </w:t>
      </w:r>
      <w:r w:rsidR="00356987" w:rsidRPr="00356987">
        <w:rPr>
          <w:lang w:val="en-GB"/>
        </w:rPr>
        <w:t>can use their devices and Internet con</w:t>
      </w:r>
      <w:r w:rsidR="00451CED">
        <w:rPr>
          <w:lang w:val="en-GB"/>
        </w:rPr>
        <w:t>nectivity to access the online Learning P</w:t>
      </w:r>
      <w:r w:rsidR="00356987" w:rsidRPr="00356987">
        <w:rPr>
          <w:lang w:val="en-GB"/>
        </w:rPr>
        <w:t xml:space="preserve">athway and their facilitators and peers at times that suit them. </w:t>
      </w:r>
      <w:r w:rsidR="002873FA">
        <w:t xml:space="preserve">Well trained facilitators </w:t>
      </w:r>
      <w:r w:rsidR="00994561">
        <w:t xml:space="preserve">are </w:t>
      </w:r>
      <w:r w:rsidR="002873FA">
        <w:t>available to interact with students online and offline. [</w:t>
      </w:r>
      <w:r w:rsidR="002873FA" w:rsidRPr="00451CED">
        <w:rPr>
          <w:i/>
        </w:rPr>
        <w:t xml:space="preserve">Refer to Appendix 2: Overview of Technology Infra-structure and Capacity to deliver the </w:t>
      </w:r>
      <w:r w:rsidR="00442830" w:rsidRPr="00451CED">
        <w:rPr>
          <w:i/>
        </w:rPr>
        <w:t>HCE</w:t>
      </w:r>
      <w:r w:rsidR="002873FA" w:rsidRPr="00451CED">
        <w:rPr>
          <w:i/>
        </w:rPr>
        <w:t>.</w:t>
      </w:r>
      <w:r w:rsidR="002873FA">
        <w:t>]</w:t>
      </w:r>
    </w:p>
    <w:p w:rsidR="002873FA" w:rsidRPr="00BE1307" w:rsidRDefault="002873FA" w:rsidP="00BE1307">
      <w:pPr>
        <w:pStyle w:val="Heading3"/>
        <w:spacing w:before="360"/>
        <w:rPr>
          <w:sz w:val="24"/>
          <w:szCs w:val="26"/>
        </w:rPr>
      </w:pPr>
      <w:r w:rsidRPr="00BE1307">
        <w:rPr>
          <w:sz w:val="24"/>
          <w:szCs w:val="26"/>
        </w:rPr>
        <w:t>Decentralized student support sys</w:t>
      </w:r>
      <w:r w:rsidR="00BE1307">
        <w:rPr>
          <w:sz w:val="24"/>
          <w:szCs w:val="26"/>
        </w:rPr>
        <w:t>tem to be implemented in phases</w:t>
      </w:r>
    </w:p>
    <w:p w:rsidR="00356987" w:rsidRPr="007F4349" w:rsidRDefault="00356987" w:rsidP="00404B7A">
      <w:pPr>
        <w:pStyle w:val="ListParagraph"/>
        <w:spacing w:before="120"/>
        <w:ind w:left="0"/>
      </w:pPr>
      <w:r w:rsidRPr="007F4349">
        <w:t xml:space="preserve">Approximately </w:t>
      </w:r>
      <w:r w:rsidR="00652BD8">
        <w:t>30</w:t>
      </w:r>
      <w:r w:rsidRPr="007F4349">
        <w:t>% of the n</w:t>
      </w:r>
      <w:r w:rsidR="00451CED">
        <w:t>otional learning hours for the P</w:t>
      </w:r>
      <w:r w:rsidRPr="007F4349">
        <w:t>rogramme take the form of face-to-face contact support at an accessible support centre, which enable</w:t>
      </w:r>
      <w:r w:rsidR="00994561">
        <w:t>s</w:t>
      </w:r>
      <w:r w:rsidRPr="007F4349">
        <w:t xml:space="preserve"> </w:t>
      </w:r>
      <w:r w:rsidR="006552B9">
        <w:t xml:space="preserve">students and facilitators to interact using </w:t>
      </w:r>
      <w:r w:rsidR="006552B9" w:rsidRPr="007F4349">
        <w:t>Sou</w:t>
      </w:r>
      <w:r w:rsidR="006552B9">
        <w:t xml:space="preserve">th African Sign Language (SASL). </w:t>
      </w:r>
    </w:p>
    <w:p w:rsidR="00356987" w:rsidRDefault="00356987" w:rsidP="007F4349">
      <w:pPr>
        <w:pStyle w:val="ListParagraph"/>
        <w:ind w:left="0"/>
      </w:pPr>
    </w:p>
    <w:p w:rsidR="002873FA" w:rsidRDefault="002873FA" w:rsidP="007F4349">
      <w:pPr>
        <w:pStyle w:val="ListParagraph"/>
        <w:ind w:left="0"/>
      </w:pPr>
      <w:r>
        <w:t xml:space="preserve">The students </w:t>
      </w:r>
      <w:r w:rsidR="00994561">
        <w:t xml:space="preserve">are able to </w:t>
      </w:r>
      <w:r w:rsidR="00DA43E5">
        <w:t>participate</w:t>
      </w:r>
      <w:r>
        <w:t xml:space="preserve"> in a structured set of contact sessions in each module with a specified facilitator and peers in selected locations or sites. The face-to-face interactions offer students cooperative learning experiences and the support</w:t>
      </w:r>
      <w:r w:rsidR="00451CED">
        <w:t xml:space="preserve"> they need to progress in the P</w:t>
      </w:r>
      <w:r>
        <w:t>rogramme. At the curriculum framework workshop held at NID in Worcester on 27 March, it was agreed that NID would employ a phase</w:t>
      </w:r>
      <w:r w:rsidR="00451CED">
        <w:t>d approach to offering the P</w:t>
      </w:r>
      <w:r>
        <w:t>rogramme to enable NID to build the necessary infra-structure and capa</w:t>
      </w:r>
      <w:r w:rsidR="00451CED">
        <w:t>city. The phase Programme Delivery M</w:t>
      </w:r>
      <w:r>
        <w:t xml:space="preserve">odel could be implemented as follows: </w:t>
      </w:r>
    </w:p>
    <w:p w:rsidR="002873FA" w:rsidRPr="007749E4" w:rsidRDefault="002873FA" w:rsidP="00BE1307">
      <w:pPr>
        <w:pStyle w:val="Heading3"/>
        <w:rPr>
          <w:lang w:val="en-GB"/>
        </w:rPr>
      </w:pPr>
      <w:r>
        <w:rPr>
          <w:lang w:val="en-GB"/>
        </w:rPr>
        <w:t xml:space="preserve">Phase 1 </w:t>
      </w:r>
    </w:p>
    <w:p w:rsidR="002873FA" w:rsidRPr="00656D26" w:rsidRDefault="002873FA" w:rsidP="001111DA">
      <w:pPr>
        <w:pStyle w:val="ListParagraph"/>
        <w:spacing w:before="120" w:afterLines="1" w:after="2"/>
        <w:ind w:left="0"/>
        <w:rPr>
          <w:lang w:val="en-GB"/>
        </w:rPr>
      </w:pPr>
      <w:r w:rsidRPr="007749E4">
        <w:rPr>
          <w:lang w:val="en-GB"/>
        </w:rPr>
        <w:t>The focus is on a small group of participants who are located in and around Wor</w:t>
      </w:r>
      <w:r w:rsidR="00994561">
        <w:rPr>
          <w:lang w:val="en-GB"/>
        </w:rPr>
        <w:t>cester. Such a group of about 20</w:t>
      </w:r>
      <w:r w:rsidRPr="007749E4">
        <w:rPr>
          <w:lang w:val="en-GB"/>
        </w:rPr>
        <w:t xml:space="preserve"> - 30 persons would be comprised of:</w:t>
      </w:r>
    </w:p>
    <w:p w:rsidR="002873FA" w:rsidRPr="00656D26" w:rsidRDefault="002873FA" w:rsidP="00EA32D2">
      <w:pPr>
        <w:pStyle w:val="ListParagraph"/>
        <w:numPr>
          <w:ilvl w:val="0"/>
          <w:numId w:val="13"/>
        </w:numPr>
        <w:spacing w:after="240"/>
        <w:ind w:left="717"/>
      </w:pPr>
      <w:r w:rsidRPr="00656D26">
        <w:t>Teaching assistants in the College and De La Bat Sch</w:t>
      </w:r>
      <w:r>
        <w:t>ool (Deaf).</w:t>
      </w:r>
    </w:p>
    <w:p w:rsidR="002873FA" w:rsidRPr="00656D26" w:rsidRDefault="002873FA" w:rsidP="00EA32D2">
      <w:pPr>
        <w:pStyle w:val="ListParagraph"/>
        <w:numPr>
          <w:ilvl w:val="0"/>
          <w:numId w:val="13"/>
        </w:numPr>
        <w:spacing w:after="240"/>
        <w:ind w:left="717"/>
      </w:pPr>
      <w:r w:rsidRPr="00656D26">
        <w:t>NID college students who have completed a Level 4 Vocational Qualification and who are interested in a career in education and train</w:t>
      </w:r>
      <w:r>
        <w:t>ing (Deaf).</w:t>
      </w:r>
    </w:p>
    <w:p w:rsidR="002873FA" w:rsidRPr="00656D26" w:rsidRDefault="002873FA" w:rsidP="00EA32D2">
      <w:pPr>
        <w:pStyle w:val="ListParagraph"/>
        <w:numPr>
          <w:ilvl w:val="0"/>
          <w:numId w:val="13"/>
        </w:numPr>
        <w:spacing w:after="240"/>
        <w:ind w:left="717"/>
      </w:pPr>
      <w:r w:rsidRPr="00656D26">
        <w:t>Staff teaching at NID and De La Bat sc</w:t>
      </w:r>
      <w:r w:rsidR="00451CED">
        <w:t>hool (Deaf and hearing</w:t>
      </w:r>
      <w:r w:rsidRPr="00656D26">
        <w:t>).</w:t>
      </w:r>
    </w:p>
    <w:p w:rsidR="002873FA" w:rsidRPr="007749E4" w:rsidRDefault="002873FA" w:rsidP="001111DA">
      <w:pPr>
        <w:spacing w:afterLines="1" w:after="2"/>
        <w:rPr>
          <w:lang w:val="en-GB"/>
        </w:rPr>
      </w:pPr>
      <w:r w:rsidRPr="007749E4">
        <w:rPr>
          <w:lang w:val="en-GB"/>
        </w:rPr>
        <w:t xml:space="preserve">The principles of a decentralized student support system would be implemented in </w:t>
      </w:r>
      <w:r>
        <w:rPr>
          <w:lang w:val="en-GB"/>
        </w:rPr>
        <w:t xml:space="preserve">one context. It is critical at this stage to develop a student support model that can be scaled to other sites and not fall </w:t>
      </w:r>
      <w:r>
        <w:rPr>
          <w:lang w:val="en-GB"/>
        </w:rPr>
        <w:lastRenderedPageBreak/>
        <w:t xml:space="preserve">into the trap of drifting into what is easy in the short-term. Year one </w:t>
      </w:r>
      <w:r w:rsidRPr="007749E4">
        <w:rPr>
          <w:lang w:val="en-GB"/>
        </w:rPr>
        <w:t>affords NID the opportunity to learn what is involved in setting up a student sup</w:t>
      </w:r>
      <w:r w:rsidR="00451CED">
        <w:rPr>
          <w:lang w:val="en-GB"/>
        </w:rPr>
        <w:t>port system and delivering the P</w:t>
      </w:r>
      <w:r w:rsidRPr="007749E4">
        <w:rPr>
          <w:lang w:val="en-GB"/>
        </w:rPr>
        <w:t xml:space="preserve">rogramme within a manageable context. </w:t>
      </w:r>
    </w:p>
    <w:p w:rsidR="002873FA" w:rsidRPr="007749E4" w:rsidRDefault="002873FA" w:rsidP="00BE1307">
      <w:pPr>
        <w:pStyle w:val="Heading3"/>
        <w:rPr>
          <w:lang w:val="en-GB"/>
        </w:rPr>
      </w:pPr>
      <w:r w:rsidRPr="00BE1307">
        <w:rPr>
          <w:lang w:val="en-GB"/>
        </w:rPr>
        <w:t>Phase Two</w:t>
      </w:r>
    </w:p>
    <w:p w:rsidR="002873FA" w:rsidRPr="00656D26" w:rsidRDefault="002873FA" w:rsidP="00EA32D2">
      <w:pPr>
        <w:pStyle w:val="ListParagraph"/>
        <w:ind w:left="0"/>
      </w:pPr>
      <w:r w:rsidRPr="007749E4">
        <w:rPr>
          <w:lang w:val="en-GB"/>
        </w:rPr>
        <w:t xml:space="preserve">The student support system is expanded to incorporate </w:t>
      </w:r>
      <w:r w:rsidR="00994561">
        <w:rPr>
          <w:lang w:val="en-GB"/>
        </w:rPr>
        <w:t xml:space="preserve">3 - </w:t>
      </w:r>
      <w:r>
        <w:rPr>
          <w:lang w:val="en-GB"/>
        </w:rPr>
        <w:t xml:space="preserve">4 decentralized sites. </w:t>
      </w:r>
      <w:r w:rsidRPr="007749E4">
        <w:rPr>
          <w:lang w:val="en-GB"/>
        </w:rPr>
        <w:t xml:space="preserve">The challenge in Year 2 is to </w:t>
      </w:r>
      <w:r>
        <w:rPr>
          <w:lang w:val="en-GB"/>
        </w:rPr>
        <w:t xml:space="preserve">implement programme delivery and student support that worked at NID to selected sites further afield. </w:t>
      </w:r>
      <w:r>
        <w:t xml:space="preserve">The student support sites are organized in conjunction with local schools or organizations. NID would be responsible for establishing and coordinating the support provided in these sites. </w:t>
      </w:r>
    </w:p>
    <w:p w:rsidR="002873FA" w:rsidRPr="007749E4" w:rsidRDefault="002873FA" w:rsidP="00BE1307">
      <w:pPr>
        <w:pStyle w:val="Heading3"/>
        <w:rPr>
          <w:lang w:val="en-GB"/>
        </w:rPr>
      </w:pPr>
      <w:r w:rsidRPr="00BE1307">
        <w:rPr>
          <w:lang w:val="en-GB"/>
        </w:rPr>
        <w:t>Phase Three</w:t>
      </w:r>
    </w:p>
    <w:p w:rsidR="002873FA" w:rsidRDefault="002873FA" w:rsidP="00EA32D2">
      <w:pPr>
        <w:pStyle w:val="ListParagraph"/>
        <w:ind w:left="0"/>
      </w:pPr>
      <w:r>
        <w:rPr>
          <w:lang w:val="en-GB"/>
        </w:rPr>
        <w:t xml:space="preserve">NID consolidates the delivery of the programme and the decentralized student support system and explores </w:t>
      </w:r>
      <w:r>
        <w:t xml:space="preserve">partnerships with other providers in order to scale the </w:t>
      </w:r>
      <w:r w:rsidR="00442830">
        <w:t>HCE</w:t>
      </w:r>
      <w:r>
        <w:t xml:space="preserve"> to national provision. </w:t>
      </w:r>
    </w:p>
    <w:p w:rsidR="002873FA" w:rsidRPr="0071609E" w:rsidRDefault="002873FA" w:rsidP="002873FA">
      <w:pPr>
        <w:spacing w:after="0" w:line="240" w:lineRule="auto"/>
      </w:pPr>
      <w:r>
        <w:t>The benefits of the supported e-Learning mode are:</w:t>
      </w:r>
    </w:p>
    <w:p w:rsidR="002873FA" w:rsidRPr="00441171" w:rsidRDefault="002873FA" w:rsidP="002873FA">
      <w:pPr>
        <w:pStyle w:val="ListParagraph"/>
        <w:numPr>
          <w:ilvl w:val="0"/>
          <w:numId w:val="12"/>
        </w:numPr>
      </w:pPr>
      <w:r w:rsidRPr="00441171">
        <w:t>Up to date core digital learning resources are accessible on a learner management system (or a CD/DVD if connectivity is poor).</w:t>
      </w:r>
    </w:p>
    <w:p w:rsidR="002873FA" w:rsidRPr="00441171" w:rsidRDefault="002873FA" w:rsidP="002873FA">
      <w:pPr>
        <w:pStyle w:val="ListParagraph"/>
        <w:numPr>
          <w:ilvl w:val="0"/>
          <w:numId w:val="12"/>
        </w:numPr>
      </w:pPr>
      <w:r>
        <w:t>Some l</w:t>
      </w:r>
      <w:r w:rsidRPr="00441171">
        <w:t xml:space="preserve">earning resources can be printed for ease of portability if needed. </w:t>
      </w:r>
    </w:p>
    <w:p w:rsidR="002873FA" w:rsidRPr="00441171" w:rsidRDefault="002873FA" w:rsidP="002873FA">
      <w:pPr>
        <w:pStyle w:val="ListParagraph"/>
        <w:numPr>
          <w:ilvl w:val="0"/>
          <w:numId w:val="12"/>
        </w:numPr>
      </w:pPr>
      <w:r w:rsidRPr="00441171">
        <w:t xml:space="preserve">Students and facilitators have immediate access to any additional resources they may need as they progress in the programme. </w:t>
      </w:r>
    </w:p>
    <w:p w:rsidR="002873FA" w:rsidRPr="00441171" w:rsidRDefault="00451CED" w:rsidP="002873FA">
      <w:pPr>
        <w:pStyle w:val="ListParagraph"/>
        <w:numPr>
          <w:ilvl w:val="0"/>
          <w:numId w:val="12"/>
        </w:numPr>
      </w:pPr>
      <w:r>
        <w:t>A stimulating and supportive Learning P</w:t>
      </w:r>
      <w:r w:rsidR="002873FA" w:rsidRPr="00441171">
        <w:t xml:space="preserve">athway is designed to enable students to study on their own with adequate support built in. </w:t>
      </w:r>
    </w:p>
    <w:p w:rsidR="002873FA" w:rsidRPr="00441171" w:rsidRDefault="00994561" w:rsidP="002873FA">
      <w:pPr>
        <w:pStyle w:val="ListParagraph"/>
        <w:numPr>
          <w:ilvl w:val="0"/>
          <w:numId w:val="12"/>
        </w:numPr>
      </w:pPr>
      <w:r>
        <w:t>The flexible format of the P</w:t>
      </w:r>
      <w:r w:rsidR="002873FA" w:rsidRPr="00441171">
        <w:t xml:space="preserve">rogramme aids equal opportunities for </w:t>
      </w:r>
      <w:r w:rsidR="002873FA">
        <w:t xml:space="preserve">Deaf and </w:t>
      </w:r>
      <w:r>
        <w:t xml:space="preserve">persons with </w:t>
      </w:r>
      <w:r w:rsidR="00B45597">
        <w:t>hearing loss</w:t>
      </w:r>
      <w:r>
        <w:t xml:space="preserve"> </w:t>
      </w:r>
      <w:r w:rsidR="002873FA" w:rsidRPr="00441171">
        <w:t xml:space="preserve">and hearing students as diverse needs can be accommodated and responded to. </w:t>
      </w:r>
    </w:p>
    <w:p w:rsidR="002873FA" w:rsidRPr="00441171" w:rsidRDefault="002873FA" w:rsidP="002873FA">
      <w:pPr>
        <w:pStyle w:val="ListParagraph"/>
        <w:numPr>
          <w:ilvl w:val="0"/>
          <w:numId w:val="12"/>
        </w:numPr>
      </w:pPr>
      <w:r w:rsidRPr="00441171">
        <w:t>External expert knowledge and support is available to students as needed.</w:t>
      </w:r>
    </w:p>
    <w:p w:rsidR="002873FA" w:rsidRPr="00F05C4D" w:rsidRDefault="002873FA" w:rsidP="002873FA">
      <w:pPr>
        <w:pStyle w:val="ListParagraph"/>
        <w:numPr>
          <w:ilvl w:val="0"/>
          <w:numId w:val="12"/>
        </w:numPr>
      </w:pPr>
      <w:r w:rsidRPr="00441171">
        <w:t xml:space="preserve">A high degree of interactivity is possible between facilitators and students through email, </w:t>
      </w:r>
      <w:r w:rsidR="00DA43E5">
        <w:t>S</w:t>
      </w:r>
      <w:r w:rsidR="00DA43E5" w:rsidRPr="00441171">
        <w:t xml:space="preserve">kype </w:t>
      </w:r>
      <w:r w:rsidRPr="00441171">
        <w:t xml:space="preserve">discussions, and discussion forums. </w:t>
      </w:r>
    </w:p>
    <w:p w:rsidR="002873FA" w:rsidRPr="00F05C4D" w:rsidRDefault="002873FA" w:rsidP="002873FA">
      <w:pPr>
        <w:pStyle w:val="ListParagraph"/>
        <w:numPr>
          <w:ilvl w:val="0"/>
          <w:numId w:val="12"/>
        </w:numPr>
      </w:pPr>
      <w:r>
        <w:t>A h</w:t>
      </w:r>
      <w:r w:rsidRPr="00441171">
        <w:t>igh potential for creating communities of practice that include students on the programme and members from diverse contexts nationally and internationally.</w:t>
      </w:r>
    </w:p>
    <w:p w:rsidR="002873FA" w:rsidRPr="00441171" w:rsidRDefault="002873FA" w:rsidP="002873FA">
      <w:pPr>
        <w:pStyle w:val="ListParagraph"/>
        <w:numPr>
          <w:ilvl w:val="0"/>
          <w:numId w:val="12"/>
        </w:numPr>
      </w:pPr>
      <w:r w:rsidRPr="00441171">
        <w:t>The learner management system makes it easy to:</w:t>
      </w:r>
    </w:p>
    <w:p w:rsidR="002873FA" w:rsidRPr="00441171" w:rsidRDefault="002873FA" w:rsidP="002873FA">
      <w:pPr>
        <w:pStyle w:val="ListParagraph"/>
        <w:numPr>
          <w:ilvl w:val="1"/>
          <w:numId w:val="12"/>
        </w:numPr>
      </w:pPr>
      <w:r w:rsidRPr="00441171">
        <w:t xml:space="preserve">Respond immediately to students by giving feedback on assessment tasks that students can access easily. </w:t>
      </w:r>
    </w:p>
    <w:p w:rsidR="002873FA" w:rsidRPr="00441171" w:rsidRDefault="002873FA" w:rsidP="002873FA">
      <w:pPr>
        <w:pStyle w:val="ListParagraph"/>
        <w:numPr>
          <w:ilvl w:val="1"/>
          <w:numId w:val="12"/>
        </w:numPr>
      </w:pPr>
      <w:r w:rsidRPr="00441171">
        <w:t xml:space="preserve">Keep a record of student progress, which facilitators and students can access. </w:t>
      </w:r>
    </w:p>
    <w:p w:rsidR="002873FA" w:rsidRDefault="002873FA" w:rsidP="002873FA">
      <w:pPr>
        <w:pStyle w:val="ListParagraph"/>
        <w:numPr>
          <w:ilvl w:val="0"/>
          <w:numId w:val="12"/>
        </w:numPr>
      </w:pPr>
      <w:r w:rsidRPr="00E9214F">
        <w:t xml:space="preserve">The costs of creating a </w:t>
      </w:r>
      <w:r w:rsidR="00DA43E5" w:rsidRPr="00E9214F">
        <w:t>technology</w:t>
      </w:r>
      <w:r w:rsidRPr="00E9214F">
        <w:t xml:space="preserve"> supported learning environment are not necessarily lower</w:t>
      </w:r>
      <w:r w:rsidR="00451CED">
        <w:t xml:space="preserve"> than used in setting up a face-to-</w:t>
      </w:r>
      <w:r w:rsidRPr="00E9214F">
        <w:t>face learning environment. The costs associated with the delivery of the Programme are differently apportioned and money does not need to be spent on accommodation which is a huge expense item in a face-to-face learning context.</w:t>
      </w:r>
      <w:r>
        <w:t xml:space="preserve"> Instead the focus is on establishing and maintaining a technology infra-structure which gives students the opportunity to engage with carefully designed learning materials online, participate in a range of interactive activities with facilitators and peers online</w:t>
      </w:r>
      <w:r w:rsidR="00451CED">
        <w:t xml:space="preserve"> and offline</w:t>
      </w:r>
      <w:r>
        <w:t xml:space="preserve">, and participate in selected face-to-face contact sessions. </w:t>
      </w:r>
    </w:p>
    <w:p w:rsidR="00BC67C4" w:rsidRDefault="002873FA" w:rsidP="002873FA">
      <w:r>
        <w:t xml:space="preserve">NID is responsible </w:t>
      </w:r>
      <w:r w:rsidR="0066013A">
        <w:t xml:space="preserve">for </w:t>
      </w:r>
      <w:r>
        <w:t>d</w:t>
      </w:r>
      <w:r w:rsidR="0066013A">
        <w:t>eveloping and implementing the P</w:t>
      </w:r>
      <w:r>
        <w:t xml:space="preserve">rogramme delivery strategy over a series of phases and for engaging with potential partners with a view to expanded provision and </w:t>
      </w:r>
      <w:r w:rsidR="0066013A">
        <w:t xml:space="preserve">appropriate </w:t>
      </w:r>
      <w:r>
        <w:lastRenderedPageBreak/>
        <w:t xml:space="preserve">articulation. DKSS is only contracted to develop the learning programme to be delivered by NID in Phase One. </w:t>
      </w:r>
    </w:p>
    <w:p w:rsidR="002873FA" w:rsidRDefault="00BC67C4" w:rsidP="002873FA">
      <w:r>
        <w:t>Partnerships with selected other providers, including University Colleges of Education, Universities of Technology, TVET Collegs and new Community Colleges, will be explored progressively as a means both towards expanded provision</w:t>
      </w:r>
      <w:r w:rsidR="00CC4A56">
        <w:t xml:space="preserve"> and articulation</w:t>
      </w:r>
      <w:r>
        <w:t>.</w:t>
      </w:r>
    </w:p>
    <w:p w:rsidR="003E3159" w:rsidRDefault="00474D52" w:rsidP="00474D52">
      <w:pPr>
        <w:pStyle w:val="Heading1"/>
        <w:spacing w:before="360" w:after="240"/>
      </w:pPr>
      <w:r>
        <w:t xml:space="preserve">Accreditation </w:t>
      </w:r>
    </w:p>
    <w:p w:rsidR="002873FA" w:rsidRPr="00FB7630" w:rsidRDefault="002873FA" w:rsidP="002873FA">
      <w:r w:rsidRPr="00FB7630">
        <w:t>The Programme would be a new qua</w:t>
      </w:r>
      <w:r w:rsidR="0066013A">
        <w:t>lification and registered as a ‘Higher Certificate’</w:t>
      </w:r>
      <w:r>
        <w:t xml:space="preserve"> at NQF L</w:t>
      </w:r>
      <w:r w:rsidRPr="00FB7630">
        <w:t xml:space="preserve">evel 5.  </w:t>
      </w:r>
    </w:p>
    <w:p w:rsidR="002873FA" w:rsidRPr="0066013A" w:rsidRDefault="002873FA" w:rsidP="002873FA">
      <w:pPr>
        <w:pStyle w:val="Default"/>
        <w:ind w:left="720"/>
        <w:rPr>
          <w:color w:val="auto"/>
          <w:sz w:val="22"/>
          <w:szCs w:val="23"/>
        </w:rPr>
      </w:pPr>
      <w:r w:rsidRPr="00FB7630">
        <w:rPr>
          <w:rFonts w:asciiTheme="minorHAnsi" w:hAnsiTheme="minorHAnsi" w:cstheme="minorBidi"/>
          <w:color w:val="auto"/>
          <w:sz w:val="22"/>
          <w:szCs w:val="22"/>
        </w:rPr>
        <w:t>“</w:t>
      </w:r>
      <w:r w:rsidRPr="00FB7630">
        <w:rPr>
          <w:rFonts w:asciiTheme="minorHAnsi" w:hAnsiTheme="minorHAnsi" w:cstheme="minorBidi"/>
          <w:i/>
          <w:color w:val="auto"/>
          <w:sz w:val="22"/>
          <w:szCs w:val="22"/>
        </w:rPr>
        <w:t>This is an entry-level higher education qualification. The qualification is primarily vocational, with a strong industry-oriented focus. The qualification also serves to provide students with the basic introductory knowledge, cognitive and conceptual tools and practical techniques for higher education studies in their chosen field of study. It emphasises selected general principles together with more specific procedures and their application. This qualification signifies that the student has attained a basic level of higher education knowledge and competence in a particular field or occupation and is capable of applying such knowledge and competence in an occupation or role in the workplace. The Higher Certificate typically includes a simulated work experience or work integrated learning (WIL) component.”</w:t>
      </w:r>
      <w:r w:rsidRPr="00FB7630">
        <w:rPr>
          <w:rFonts w:asciiTheme="minorHAnsi" w:hAnsiTheme="minorHAnsi" w:cstheme="minorBidi"/>
          <w:color w:val="auto"/>
          <w:sz w:val="22"/>
          <w:szCs w:val="22"/>
        </w:rPr>
        <w:t xml:space="preserve">  </w:t>
      </w:r>
      <w:r w:rsidR="00CC4A56" w:rsidRPr="0066013A">
        <w:rPr>
          <w:rFonts w:asciiTheme="minorHAnsi" w:hAnsiTheme="minorHAnsi" w:cstheme="minorBidi"/>
          <w:color w:val="auto"/>
          <w:sz w:val="22"/>
          <w:szCs w:val="22"/>
        </w:rPr>
        <w:t>[</w:t>
      </w:r>
      <w:r w:rsidRPr="0066013A">
        <w:rPr>
          <w:rFonts w:asciiTheme="minorHAnsi" w:hAnsiTheme="minorHAnsi" w:cstheme="minorBidi"/>
          <w:color w:val="auto"/>
          <w:sz w:val="22"/>
          <w:szCs w:val="22"/>
        </w:rPr>
        <w:t>Purpose and Characteristics of a Higher Certificate; The Higher Education Qualifications Sub-Framework as revised January 2013 (p21</w:t>
      </w:r>
      <w:r w:rsidRPr="0066013A">
        <w:rPr>
          <w:color w:val="auto"/>
          <w:sz w:val="22"/>
          <w:szCs w:val="23"/>
        </w:rPr>
        <w:t>)</w:t>
      </w:r>
      <w:r w:rsidR="00CC4A56" w:rsidRPr="0066013A">
        <w:rPr>
          <w:color w:val="auto"/>
          <w:sz w:val="22"/>
          <w:szCs w:val="23"/>
        </w:rPr>
        <w:t>]</w:t>
      </w:r>
    </w:p>
    <w:p w:rsidR="002873FA" w:rsidRDefault="002873FA" w:rsidP="002873FA">
      <w:pPr>
        <w:spacing w:before="360"/>
      </w:pPr>
      <w:r w:rsidRPr="00FB7630">
        <w:t xml:space="preserve">With a Higher Education </w:t>
      </w:r>
      <w:r>
        <w:t>C</w:t>
      </w:r>
      <w:r w:rsidRPr="00FB7630">
        <w:t>ertificate</w:t>
      </w:r>
      <w:r>
        <w:t>,</w:t>
      </w:r>
      <w:r w:rsidRPr="00FB7630">
        <w:t xml:space="preserve"> assessment is on the basis of exit level outcomes and not unit standards</w:t>
      </w:r>
      <w:r>
        <w:t>.</w:t>
      </w:r>
      <w:r w:rsidRPr="00FB7630">
        <w:t xml:space="preserve"> Working with exit level outcomes </w:t>
      </w:r>
      <w:r w:rsidR="0066013A">
        <w:t xml:space="preserve">has the advantage of enabling an </w:t>
      </w:r>
      <w:r w:rsidRPr="00FB7630">
        <w:t>integrated approach to teaching, learning</w:t>
      </w:r>
      <w:r>
        <w:t>,</w:t>
      </w:r>
      <w:r w:rsidRPr="00FB7630">
        <w:t xml:space="preserve"> and assessment. </w:t>
      </w:r>
    </w:p>
    <w:p w:rsidR="002873FA" w:rsidRDefault="002873FA" w:rsidP="002873FA">
      <w:r>
        <w:t>There is some uncertainty in the sector at the moment regarding the accreditation of Level 5 Higher Certificates. At one point it was thought that these might be accredited through the QCTO and its constituent SETAs but the QCTO has placed a moratorium on the accreditation of new qualifications due to the already existing backlog. Also the recent White Paper opens the possibility of TVET providers offering Level 5 and 6 qualifications even after the current National Higher Diplomas are phased out or replaced with new equivalents. The most likely accreditation pathway in the short term is therefore likely to be:</w:t>
      </w:r>
    </w:p>
    <w:p w:rsidR="002873FA" w:rsidRDefault="002873FA" w:rsidP="002873FA">
      <w:pPr>
        <w:pStyle w:val="ListParagraph"/>
        <w:numPr>
          <w:ilvl w:val="0"/>
          <w:numId w:val="10"/>
        </w:numPr>
      </w:pPr>
      <w:r>
        <w:t>Application to the DHET for approval for NID to offer the Higher Certificate within the mandate of its current registration</w:t>
      </w:r>
      <w:r w:rsidR="000D415E">
        <w:t>.</w:t>
      </w:r>
    </w:p>
    <w:p w:rsidR="002873FA" w:rsidRDefault="002873FA" w:rsidP="002873FA">
      <w:pPr>
        <w:pStyle w:val="ListParagraph"/>
        <w:numPr>
          <w:ilvl w:val="0"/>
          <w:numId w:val="10"/>
        </w:numPr>
      </w:pPr>
      <w:r>
        <w:t>Application through the CHE’s online system for accreditation of the Higher Certificate</w:t>
      </w:r>
      <w:r w:rsidR="000D415E">
        <w:t>.</w:t>
      </w:r>
    </w:p>
    <w:p w:rsidR="002873FA" w:rsidRDefault="002873FA" w:rsidP="002873FA">
      <w:pPr>
        <w:pStyle w:val="ListParagraph"/>
        <w:numPr>
          <w:ilvl w:val="0"/>
          <w:numId w:val="10"/>
        </w:numPr>
      </w:pPr>
      <w:r>
        <w:t>Regi</w:t>
      </w:r>
      <w:r w:rsidR="0066013A">
        <w:t>stration by SAQA of the Higher C</w:t>
      </w:r>
      <w:r>
        <w:t>ertificate on the NQF</w:t>
      </w:r>
      <w:r w:rsidR="000D415E">
        <w:t>.</w:t>
      </w:r>
    </w:p>
    <w:p w:rsidR="00CC4A56" w:rsidRDefault="002873FA" w:rsidP="002873FA">
      <w:pPr>
        <w:pStyle w:val="ListParagraph"/>
        <w:numPr>
          <w:ilvl w:val="0"/>
          <w:numId w:val="10"/>
        </w:numPr>
      </w:pPr>
      <w:r>
        <w:t>Formation of partnership agre</w:t>
      </w:r>
      <w:r w:rsidR="0066013A">
        <w:t>ements to offer the accredited P</w:t>
      </w:r>
      <w:r>
        <w:t>rogramme nationally (such partnerships will be needed given that face-to-face contact will al</w:t>
      </w:r>
      <w:r w:rsidR="0066013A">
        <w:t>ways be a key component of the P</w:t>
      </w:r>
      <w:r>
        <w:t>rogramme design).</w:t>
      </w:r>
    </w:p>
    <w:p w:rsidR="00CC4A56" w:rsidRDefault="00CC4A56" w:rsidP="002873FA"/>
    <w:p w:rsidR="00CC4A56" w:rsidRDefault="00CC4A56" w:rsidP="002873FA">
      <w:r>
        <w:t xml:space="preserve">As noted during the workshop held in Worcester on 27 and 28 March 2014, Unisa might in time be an appropriate partner for provision of the HCE but will be unlikely to consider articulation of the </w:t>
      </w:r>
      <w:r>
        <w:lastRenderedPageBreak/>
        <w:t>proposed HCE with its new Programme Qualifications Mix (PQM) until after 2017, as its primary focus in the period 2014-2016 is the redevelopment of its core teacher education programmes.</w:t>
      </w:r>
    </w:p>
    <w:p w:rsidR="00CC4A56" w:rsidRDefault="00CC4A56" w:rsidP="002873FA">
      <w:r>
        <w:t xml:space="preserve">NID is responsible for researching the process of accrediting the HCE Programme and exploring articulation with the new teacher education qualifications registered by other providers in line with the new Minimum Requirements for Teacher Education Qualifications (RSA 2011). </w:t>
      </w:r>
    </w:p>
    <w:p w:rsidR="00CC4A56" w:rsidRDefault="00BE1307" w:rsidP="00BE1307">
      <w:pPr>
        <w:pStyle w:val="Heading2"/>
      </w:pPr>
      <w:r>
        <w:t xml:space="preserve">CHE </w:t>
      </w:r>
      <w:r w:rsidR="001D7BCB">
        <w:t>approved c</w:t>
      </w:r>
      <w:r w:rsidR="00CC4A56">
        <w:t xml:space="preserve">riteria </w:t>
      </w:r>
      <w:r>
        <w:t xml:space="preserve">for delivery of the HCE </w:t>
      </w:r>
    </w:p>
    <w:p w:rsidR="002873FA" w:rsidRDefault="002873FA" w:rsidP="002873FA">
      <w:r>
        <w:t>As preparation for the envisaged CHE accreditation process, NID will need to start developing written positions on the following issues (including links to appropriate supporting policy documents, reports, budgets etc.)</w:t>
      </w:r>
    </w:p>
    <w:p w:rsidR="002873FA" w:rsidRPr="000D415E" w:rsidRDefault="002873FA" w:rsidP="00BE1307">
      <w:pPr>
        <w:pStyle w:val="Heading3"/>
      </w:pPr>
      <w:r w:rsidRPr="000D415E">
        <w:t>Criterion 1: Programme design</w:t>
      </w:r>
    </w:p>
    <w:p w:rsidR="002873FA" w:rsidRDefault="002873FA" w:rsidP="002873FA">
      <w:pPr>
        <w:rPr>
          <w:rFonts w:cs="Arial"/>
          <w:bCs/>
          <w:i/>
          <w:sz w:val="20"/>
          <w:szCs w:val="20"/>
        </w:rPr>
      </w:pPr>
      <w:r>
        <w:rPr>
          <w:rFonts w:cs="Arial"/>
          <w:i/>
          <w:sz w:val="20"/>
          <w:szCs w:val="20"/>
        </w:rPr>
        <w:t>The programme</w:t>
      </w:r>
      <w:r>
        <w:rPr>
          <w:rFonts w:cs="Arial"/>
          <w:b/>
          <w:bCs/>
          <w:i/>
          <w:sz w:val="20"/>
          <w:szCs w:val="20"/>
        </w:rPr>
        <w:t xml:space="preserve"> </w:t>
      </w:r>
      <w:r>
        <w:rPr>
          <w:rFonts w:cs="Arial"/>
          <w:bCs/>
          <w:i/>
          <w:sz w:val="20"/>
          <w:szCs w:val="20"/>
        </w:rPr>
        <w:t>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p w:rsidR="002873FA" w:rsidRPr="00BE1307" w:rsidRDefault="002873FA" w:rsidP="00BE1307">
      <w:pPr>
        <w:pStyle w:val="Heading3"/>
      </w:pPr>
      <w:r w:rsidRPr="00BE1307">
        <w:t>Criterion 2: Student recruitment, admission and selection</w:t>
      </w:r>
    </w:p>
    <w:p w:rsidR="002873FA" w:rsidRDefault="002873FA" w:rsidP="002873FA">
      <w:pPr>
        <w:rPr>
          <w:rFonts w:cs="Arial"/>
          <w:bCs/>
          <w:i/>
          <w:iCs/>
          <w:sz w:val="20"/>
          <w:szCs w:val="20"/>
        </w:rPr>
      </w:pPr>
      <w:r w:rsidRPr="00BD7185">
        <w:rPr>
          <w:rFonts w:cs="Arial"/>
          <w:bCs/>
          <w:i/>
          <w:iCs/>
          <w:sz w:val="20"/>
          <w:szCs w:val="20"/>
        </w:rPr>
        <w:t>Recruitment documentation informs potential students of the programme accurately and sufficiently, and admission adheres to current legislation. Admission and selection of students are commensurate with the programme’s academic requirements, within a framework of widened access and equity. The number of students selected takes into account the programme’s intended learning outcomes, its capacity to offer good quality education and the needs of the particular profession (in the case of professional and vocational programmes).</w:t>
      </w:r>
    </w:p>
    <w:p w:rsidR="002873FA" w:rsidRPr="00BE1307" w:rsidRDefault="002873FA" w:rsidP="00BE1307">
      <w:pPr>
        <w:pStyle w:val="Heading3"/>
      </w:pPr>
      <w:r w:rsidRPr="00BE1307">
        <w:t>Criteria 3 and 4 on staffing (it is useful to consider these together)</w:t>
      </w:r>
    </w:p>
    <w:p w:rsidR="002873FA" w:rsidRDefault="002873FA" w:rsidP="002873FA">
      <w:pPr>
        <w:rPr>
          <w:rFonts w:cs="Arial"/>
          <w:i/>
          <w:iCs/>
          <w:sz w:val="20"/>
          <w:szCs w:val="20"/>
        </w:rPr>
      </w:pPr>
      <w:r w:rsidRPr="00BD7185">
        <w:rPr>
          <w:rFonts w:cs="Arial"/>
          <w:i/>
          <w:iCs/>
          <w:sz w:val="20"/>
          <w:szCs w:val="20"/>
        </w:rPr>
        <w:t>Academic staff responsible for the programme is suitably qualified, has sufficient relevant experience and teaching competence, and their assessment competence and research profile are adequate for the nature and level of the programme. The institution and/or other recognised agencies contracted by the institution provide opportunities for academic staff members to enhance their competences and to support their professional growth and development.</w:t>
      </w:r>
    </w:p>
    <w:p w:rsidR="002873FA" w:rsidRDefault="002873FA" w:rsidP="002873FA">
      <w:pPr>
        <w:rPr>
          <w:rFonts w:cs="Arial"/>
          <w:i/>
          <w:iCs/>
          <w:sz w:val="20"/>
          <w:szCs w:val="20"/>
        </w:rPr>
      </w:pPr>
      <w:r w:rsidRPr="00BD7185">
        <w:rPr>
          <w:rFonts w:cs="Arial"/>
          <w:i/>
          <w:iCs/>
          <w:sz w:val="20"/>
          <w:szCs w:val="20"/>
        </w:rPr>
        <w:t>The academic and support staff complement is of sufficient size and seniority for the nature and field of the programme and the size of the student body to ensure that all activities related to the programme can be carried out effectively. There is an appropriate ratio between full-time and part-time staff. The recruitment and employment of staff follow relevant legislation and appropriate administrative procedures, including redress and equity considerations. Support staff members are adequately qualified and their knowledge and skills are regularly updated.</w:t>
      </w:r>
    </w:p>
    <w:p w:rsidR="002873FA" w:rsidRPr="00BE1307" w:rsidRDefault="002873FA" w:rsidP="00BE1307">
      <w:pPr>
        <w:pStyle w:val="Heading3"/>
      </w:pPr>
      <w:r w:rsidRPr="00BE1307">
        <w:t>Criterion 5: Teaching and learning strategy</w:t>
      </w:r>
    </w:p>
    <w:p w:rsidR="002873FA" w:rsidRDefault="002873FA" w:rsidP="002873FA">
      <w:pPr>
        <w:rPr>
          <w:i/>
          <w:iCs/>
          <w:sz w:val="20"/>
          <w:szCs w:val="20"/>
        </w:rPr>
      </w:pPr>
      <w:r w:rsidRPr="00BD7185">
        <w:rPr>
          <w:i/>
          <w:iCs/>
          <w:sz w:val="20"/>
          <w:szCs w:val="20"/>
        </w:rPr>
        <w:t>The institution gives recognition to the importance of the promotion of student learning. The teaching and learning strategy is appropriate for the institutional type (as reflected in its mission), mode(s) of delivery and student composition, contains mechanisms to ensure the appropriateness of teaching and learning methods, and makes provision for staff to upgrade their teaching methods.  The strategy sets targets, plans for implementation, as well as mechanisms to monitor progress, evaluate impact and effect improvement.</w:t>
      </w:r>
    </w:p>
    <w:p w:rsidR="002873FA" w:rsidRPr="00BE1307" w:rsidRDefault="002873FA" w:rsidP="00BE1307">
      <w:pPr>
        <w:pStyle w:val="Heading3"/>
      </w:pPr>
      <w:r w:rsidRPr="00BE1307">
        <w:t>Criterion 6: Student assessment</w:t>
      </w:r>
    </w:p>
    <w:p w:rsidR="002873FA" w:rsidRDefault="002873FA" w:rsidP="002873FA">
      <w:pPr>
        <w:rPr>
          <w:rFonts w:ascii="Garamond" w:hAnsi="Garamond" w:cs="Arial"/>
          <w:i/>
          <w:iCs/>
          <w:sz w:val="20"/>
          <w:szCs w:val="20"/>
        </w:rPr>
      </w:pPr>
      <w:r w:rsidRPr="001A0D27">
        <w:rPr>
          <w:i/>
          <w:sz w:val="20"/>
          <w:szCs w:val="20"/>
        </w:rPr>
        <w:t xml:space="preserve">The different modes of delivery of the programme have appropriate policies and procedures for internal assessment; internal and external moderation; monitoring of student progress; explicitness, validity and </w:t>
      </w:r>
      <w:r w:rsidRPr="001A0D27">
        <w:rPr>
          <w:i/>
          <w:sz w:val="20"/>
          <w:szCs w:val="20"/>
        </w:rPr>
        <w:lastRenderedPageBreak/>
        <w:t>reliability of assessment practices; recording of assessment results; settling of disputes; the rigour and security of the assessment system; RPL; and for the development of staff competence in assessment</w:t>
      </w:r>
      <w:r w:rsidRPr="001A0D27">
        <w:rPr>
          <w:rFonts w:ascii="Garamond" w:hAnsi="Garamond" w:cs="Arial"/>
          <w:i/>
          <w:iCs/>
          <w:sz w:val="20"/>
          <w:szCs w:val="20"/>
        </w:rPr>
        <w:t>.</w:t>
      </w:r>
    </w:p>
    <w:p w:rsidR="002873FA" w:rsidRPr="00BE1307" w:rsidRDefault="002873FA" w:rsidP="00BE1307">
      <w:pPr>
        <w:pStyle w:val="Heading3"/>
      </w:pPr>
      <w:r w:rsidRPr="00BE1307">
        <w:t>Criterion 7: Library services</w:t>
      </w:r>
    </w:p>
    <w:p w:rsidR="002873FA" w:rsidRDefault="002873FA" w:rsidP="002873FA">
      <w:pPr>
        <w:rPr>
          <w:i/>
          <w:iCs/>
          <w:sz w:val="20"/>
          <w:szCs w:val="20"/>
        </w:rPr>
      </w:pPr>
      <w:r w:rsidRPr="00BD7185">
        <w:rPr>
          <w:i/>
          <w:iCs/>
          <w:sz w:val="20"/>
          <w:szCs w:val="20"/>
        </w:rPr>
        <w:t>Suitable and sufficient venues, IT infrastructure and library resources are available for students and staff in the programme. Policies ensure the proper management and maintenance of library resources, including support and access for students and staff. Staff development of library staff takes place on a regular basis.</w:t>
      </w:r>
    </w:p>
    <w:p w:rsidR="002873FA" w:rsidRPr="00BE1307" w:rsidRDefault="002873FA" w:rsidP="00BE1307">
      <w:pPr>
        <w:pStyle w:val="Heading3"/>
      </w:pPr>
      <w:r w:rsidRPr="00BE1307">
        <w:t>Criterion 8: Programme administrative services</w:t>
      </w:r>
    </w:p>
    <w:p w:rsidR="009E01B3" w:rsidRDefault="002873FA" w:rsidP="002873FA">
      <w:pPr>
        <w:rPr>
          <w:rFonts w:cs="Arial"/>
          <w:i/>
          <w:sz w:val="20"/>
          <w:szCs w:val="20"/>
        </w:rPr>
      </w:pPr>
      <w:r w:rsidRPr="00BD7185">
        <w:rPr>
          <w:rFonts w:cs="Arial"/>
          <w:i/>
          <w:iCs/>
          <w:sz w:val="20"/>
          <w:szCs w:val="20"/>
        </w:rPr>
        <w:t>The programme has effective administrative services in order to provide information, manage the programme information system, deal with a diverse student population, and ensure the integrity of processes leading to certification of the qualification obtained through the programme</w:t>
      </w:r>
      <w:r w:rsidRPr="00BD7185">
        <w:rPr>
          <w:rFonts w:cs="Arial"/>
          <w:i/>
          <w:sz w:val="20"/>
          <w:szCs w:val="20"/>
        </w:rPr>
        <w:t>.</w:t>
      </w:r>
    </w:p>
    <w:p w:rsidR="004C62C3" w:rsidRDefault="000176DA" w:rsidP="004C62C3">
      <w:pPr>
        <w:pStyle w:val="Heading1"/>
        <w:spacing w:before="360" w:after="240"/>
      </w:pPr>
      <w:r>
        <w:t>Support for the Programme</w:t>
      </w:r>
    </w:p>
    <w:p w:rsidR="004C62C3" w:rsidRDefault="000176DA" w:rsidP="00BE1307">
      <w:pPr>
        <w:pStyle w:val="Heading2"/>
      </w:pPr>
      <w:r>
        <w:t>Trained Facilitators to Support Students</w:t>
      </w:r>
    </w:p>
    <w:p w:rsidR="009E01B3" w:rsidRDefault="009E01B3" w:rsidP="004F4802">
      <w:pPr>
        <w:spacing w:before="120"/>
      </w:pPr>
      <w:r>
        <w:t xml:space="preserve">Facilitators play a pivotal role in creating a learning environment that integrates face-to-face and technology supported learning interactions. For most facilitators the blended learning and teaching approaches and methods designed in the </w:t>
      </w:r>
      <w:r w:rsidR="00442830">
        <w:t>HCE</w:t>
      </w:r>
      <w:r>
        <w:t xml:space="preserve"> is a new and challenging experience and they will need adequate training and support to perform this crucial role. </w:t>
      </w:r>
    </w:p>
    <w:p w:rsidR="009E01B3" w:rsidRDefault="009E01B3" w:rsidP="009E01B3">
      <w:r>
        <w:t xml:space="preserve">NID is responsible for appointing facilitators and developing a suitable training strategy that comprises the following </w:t>
      </w:r>
      <w:r w:rsidR="004C7F18">
        <w:t xml:space="preserve">key </w:t>
      </w:r>
      <w:r>
        <w:t xml:space="preserve">elements. </w:t>
      </w:r>
    </w:p>
    <w:p w:rsidR="001575F8" w:rsidRDefault="009E01B3" w:rsidP="009E01B3">
      <w:pPr>
        <w:pStyle w:val="ListParagraph"/>
        <w:numPr>
          <w:ilvl w:val="0"/>
          <w:numId w:val="7"/>
        </w:numPr>
      </w:pPr>
      <w:r>
        <w:t>The Facilitator Module Guides are a primary resource that have detailed guidelines on how to provide online and offline support to students and plan and facilitate contact sessions. Th</w:t>
      </w:r>
      <w:r w:rsidR="004C7F18">
        <w:t xml:space="preserve">e Module Guides are </w:t>
      </w:r>
      <w:r>
        <w:t xml:space="preserve">developed by DKSS as part of the </w:t>
      </w:r>
      <w:r w:rsidR="00442830">
        <w:t>HCE</w:t>
      </w:r>
      <w:r>
        <w:t xml:space="preserve"> learning resources</w:t>
      </w:r>
      <w:r w:rsidR="0034333A">
        <w:t xml:space="preserve"> package</w:t>
      </w:r>
      <w:r>
        <w:t xml:space="preserve">. </w:t>
      </w:r>
    </w:p>
    <w:p w:rsidR="001575F8" w:rsidRDefault="009E01B3" w:rsidP="009E01B3">
      <w:pPr>
        <w:pStyle w:val="ListParagraph"/>
        <w:numPr>
          <w:ilvl w:val="0"/>
          <w:numId w:val="7"/>
        </w:numPr>
      </w:pPr>
      <w:r>
        <w:t xml:space="preserve">The LMS offers facilitators helpful tools that enable them to manage each student’s progress. </w:t>
      </w:r>
    </w:p>
    <w:p w:rsidR="009E01B3" w:rsidRDefault="001575F8" w:rsidP="009E01B3">
      <w:pPr>
        <w:pStyle w:val="ListParagraph"/>
        <w:numPr>
          <w:ilvl w:val="0"/>
          <w:numId w:val="7"/>
        </w:numPr>
      </w:pPr>
      <w:r>
        <w:t xml:space="preserve">Start-up training is organized by NID to orient facilitators to their role and provide them with the necessary skills training to be able to work with the LMS, support students online and offline and prepare and facilitate structured contact sessions. </w:t>
      </w:r>
    </w:p>
    <w:p w:rsidR="009E01B3" w:rsidRDefault="009E01B3" w:rsidP="009E01B3">
      <w:pPr>
        <w:pStyle w:val="ListParagraph"/>
        <w:numPr>
          <w:ilvl w:val="0"/>
          <w:numId w:val="7"/>
        </w:numPr>
      </w:pPr>
      <w:r>
        <w:t>Participation in a Community of Practice is a central support component. Peer support is readily available when needed and plays a vital role in encouraging facilitators to share their experiences, solve emerging problems, and keep up their motivation level.</w:t>
      </w:r>
    </w:p>
    <w:p w:rsidR="009E01B3" w:rsidRDefault="009E01B3" w:rsidP="009E01B3">
      <w:pPr>
        <w:pStyle w:val="ListParagraph"/>
        <w:numPr>
          <w:ilvl w:val="0"/>
          <w:numId w:val="7"/>
        </w:numPr>
      </w:pPr>
      <w:r>
        <w:t xml:space="preserve">Several planned training events are organized that focus on emerging training needs. </w:t>
      </w:r>
    </w:p>
    <w:p w:rsidR="004C62C3" w:rsidRDefault="00F1667A" w:rsidP="00BE1307">
      <w:pPr>
        <w:pStyle w:val="Heading2"/>
      </w:pPr>
      <w:r>
        <w:t xml:space="preserve">Support for Teaching Practice </w:t>
      </w:r>
    </w:p>
    <w:p w:rsidR="0074496E" w:rsidRDefault="004C62C3" w:rsidP="004F4802">
      <w:pPr>
        <w:spacing w:before="120" w:after="0" w:line="240" w:lineRule="auto"/>
      </w:pPr>
      <w:r>
        <w:t>As noted by NTI</w:t>
      </w:r>
      <w:r>
        <w:rPr>
          <w:rStyle w:val="FootnoteReference"/>
        </w:rPr>
        <w:footnoteReference w:id="11"/>
      </w:r>
      <w:r>
        <w:t xml:space="preserve"> (2009:47-48), the conduc</w:t>
      </w:r>
      <w:r w:rsidR="00886197">
        <w:t>t</w:t>
      </w:r>
      <w:r>
        <w:t>ing of actual teaching practice requires a phased intervention involving several role players. They make the following recommendations which can inform the work of the NID:</w:t>
      </w:r>
    </w:p>
    <w:p w:rsidR="0074496E" w:rsidRDefault="0074496E" w:rsidP="004C62C3">
      <w:pPr>
        <w:spacing w:after="0" w:line="240" w:lineRule="auto"/>
      </w:pPr>
    </w:p>
    <w:tbl>
      <w:tblPr>
        <w:tblStyle w:val="TableGrid"/>
        <w:tblW w:w="0" w:type="auto"/>
        <w:tblLook w:val="00A0" w:firstRow="1" w:lastRow="0" w:firstColumn="1" w:lastColumn="0" w:noHBand="0" w:noVBand="0"/>
      </w:tblPr>
      <w:tblGrid>
        <w:gridCol w:w="9242"/>
      </w:tblGrid>
      <w:tr w:rsidR="0074496E">
        <w:tc>
          <w:tcPr>
            <w:tcW w:w="9242" w:type="dxa"/>
            <w:shd w:val="pct5" w:color="auto" w:fill="auto"/>
          </w:tcPr>
          <w:p w:rsidR="0074496E" w:rsidRPr="0066013A" w:rsidRDefault="0074496E" w:rsidP="00886197">
            <w:pPr>
              <w:pStyle w:val="Heading2"/>
              <w:outlineLvl w:val="1"/>
              <w:rPr>
                <w:rFonts w:asciiTheme="minorHAnsi" w:hAnsiTheme="minorHAnsi"/>
                <w:sz w:val="22"/>
              </w:rPr>
            </w:pPr>
            <w:r w:rsidRPr="0066013A">
              <w:rPr>
                <w:rFonts w:asciiTheme="minorHAnsi" w:hAnsiTheme="minorHAnsi"/>
                <w:sz w:val="22"/>
              </w:rPr>
              <w:lastRenderedPageBreak/>
              <w:t>Conducting the Actual Teaching Practice</w:t>
            </w:r>
          </w:p>
          <w:p w:rsidR="0074496E" w:rsidRPr="009E01B3" w:rsidRDefault="0074496E" w:rsidP="0074496E">
            <w:pPr>
              <w:jc w:val="left"/>
              <w:rPr>
                <w:rFonts w:asciiTheme="minorHAnsi" w:hAnsiTheme="minorHAnsi"/>
                <w:sz w:val="20"/>
              </w:rPr>
            </w:pPr>
            <w:r w:rsidRPr="009E01B3">
              <w:rPr>
                <w:rFonts w:asciiTheme="minorHAnsi" w:hAnsiTheme="minorHAnsi"/>
                <w:sz w:val="20"/>
              </w:rPr>
              <w:t>The following procedures are to be followed in conducting the actual teaching practice:</w:t>
            </w:r>
          </w:p>
          <w:p w:rsidR="0074496E" w:rsidRPr="00886197" w:rsidRDefault="0074496E" w:rsidP="0074496E">
            <w:pPr>
              <w:jc w:val="left"/>
              <w:rPr>
                <w:rFonts w:asciiTheme="minorHAnsi" w:hAnsiTheme="minorHAnsi"/>
                <w:sz w:val="20"/>
              </w:rPr>
            </w:pPr>
          </w:p>
          <w:p w:rsidR="0074496E" w:rsidRPr="00886197" w:rsidRDefault="0074496E" w:rsidP="0074496E">
            <w:pPr>
              <w:ind w:left="459" w:hanging="425"/>
              <w:jc w:val="left"/>
              <w:rPr>
                <w:rFonts w:asciiTheme="minorHAnsi" w:hAnsiTheme="minorHAnsi"/>
                <w:b/>
                <w:sz w:val="20"/>
              </w:rPr>
            </w:pPr>
            <w:r w:rsidRPr="00886197">
              <w:rPr>
                <w:rFonts w:asciiTheme="minorHAnsi" w:hAnsiTheme="minorHAnsi"/>
                <w:b/>
                <w:sz w:val="20"/>
              </w:rPr>
              <w:t>(i)</w:t>
            </w:r>
            <w:r w:rsidRPr="00886197">
              <w:rPr>
                <w:rFonts w:asciiTheme="minorHAnsi" w:hAnsiTheme="minorHAnsi"/>
                <w:b/>
                <w:sz w:val="20"/>
              </w:rPr>
              <w:tab/>
            </w:r>
            <w:r w:rsidRPr="0066013A">
              <w:rPr>
                <w:rFonts w:asciiTheme="minorHAnsi" w:eastAsiaTheme="majorEastAsia" w:hAnsiTheme="minorHAnsi" w:cstheme="majorBidi"/>
                <w:b/>
                <w:bCs/>
                <w:sz w:val="20"/>
                <w:szCs w:val="22"/>
              </w:rPr>
              <w:t>Orientation of Staff Members</w:t>
            </w:r>
          </w:p>
          <w:p w:rsidR="0074496E" w:rsidRPr="009E01B3" w:rsidRDefault="0074496E" w:rsidP="0074496E">
            <w:pPr>
              <w:jc w:val="left"/>
              <w:rPr>
                <w:rFonts w:asciiTheme="minorHAnsi" w:hAnsiTheme="minorHAnsi"/>
                <w:sz w:val="20"/>
              </w:rPr>
            </w:pPr>
            <w:r w:rsidRPr="009E01B3">
              <w:rPr>
                <w:rFonts w:asciiTheme="minorHAnsi" w:hAnsiTheme="minorHAnsi"/>
                <w:sz w:val="20"/>
              </w:rPr>
              <w:t>The coordinators, managers, supervisors, facilitators, course tutors, and cooperating teachers should first of all undergo an orientation before teaching practice to familiarize themselves with the requirements for this category of trainees on teaching practice.</w:t>
            </w:r>
          </w:p>
          <w:p w:rsidR="0074496E" w:rsidRPr="009E01B3" w:rsidRDefault="0074496E" w:rsidP="0074496E">
            <w:pPr>
              <w:jc w:val="left"/>
              <w:rPr>
                <w:rFonts w:asciiTheme="minorHAnsi" w:hAnsiTheme="minorHAnsi"/>
                <w:sz w:val="20"/>
              </w:rPr>
            </w:pPr>
          </w:p>
          <w:p w:rsidR="0074496E" w:rsidRPr="0066013A" w:rsidRDefault="0074496E" w:rsidP="0074496E">
            <w:pPr>
              <w:ind w:left="459" w:hanging="425"/>
              <w:jc w:val="left"/>
              <w:rPr>
                <w:rFonts w:asciiTheme="minorHAnsi" w:eastAsiaTheme="majorEastAsia" w:hAnsiTheme="minorHAnsi" w:cstheme="majorBidi"/>
                <w:b/>
                <w:bCs/>
                <w:sz w:val="20"/>
                <w:szCs w:val="22"/>
              </w:rPr>
            </w:pPr>
            <w:r w:rsidRPr="0066013A">
              <w:rPr>
                <w:rFonts w:asciiTheme="minorHAnsi" w:eastAsiaTheme="majorEastAsia" w:hAnsiTheme="minorHAnsi" w:cstheme="majorBidi"/>
                <w:b/>
                <w:bCs/>
                <w:sz w:val="20"/>
                <w:szCs w:val="22"/>
              </w:rPr>
              <w:t>(ii)</w:t>
            </w:r>
            <w:r w:rsidRPr="0066013A">
              <w:rPr>
                <w:rFonts w:asciiTheme="minorHAnsi" w:eastAsiaTheme="majorEastAsia" w:hAnsiTheme="minorHAnsi" w:cstheme="majorBidi"/>
                <w:b/>
                <w:bCs/>
                <w:sz w:val="20"/>
                <w:szCs w:val="22"/>
              </w:rPr>
              <w:tab/>
              <w:t>Orientation of Student-Teachers</w:t>
            </w:r>
          </w:p>
          <w:p w:rsidR="0074496E" w:rsidRPr="009E01B3" w:rsidRDefault="00886197" w:rsidP="0074496E">
            <w:pPr>
              <w:jc w:val="left"/>
              <w:rPr>
                <w:rFonts w:asciiTheme="minorHAnsi" w:hAnsiTheme="minorHAnsi"/>
                <w:sz w:val="20"/>
              </w:rPr>
            </w:pPr>
            <w:r>
              <w:rPr>
                <w:rFonts w:asciiTheme="minorHAnsi" w:hAnsiTheme="minorHAnsi"/>
                <w:sz w:val="20"/>
              </w:rPr>
              <w:t>The course managers/s</w:t>
            </w:r>
            <w:r w:rsidR="0074496E" w:rsidRPr="009E01B3">
              <w:rPr>
                <w:rFonts w:asciiTheme="minorHAnsi" w:hAnsiTheme="minorHAnsi"/>
                <w:sz w:val="20"/>
              </w:rPr>
              <w:t>upervisors and the cooperating teachers should orientate the student-teachers in areas such as the concepts, modalities, procedures and guidelines for organizing teaching practice activities.  This should last for the first week of the teaching practice.</w:t>
            </w:r>
          </w:p>
          <w:p w:rsidR="0074496E" w:rsidRPr="009E01B3" w:rsidRDefault="0074496E" w:rsidP="0074496E">
            <w:pPr>
              <w:jc w:val="left"/>
              <w:rPr>
                <w:rFonts w:asciiTheme="minorHAnsi" w:hAnsiTheme="minorHAnsi"/>
                <w:sz w:val="20"/>
              </w:rPr>
            </w:pPr>
          </w:p>
          <w:p w:rsidR="0074496E" w:rsidRPr="0066013A" w:rsidRDefault="0074496E" w:rsidP="0074496E">
            <w:pPr>
              <w:ind w:left="459" w:hanging="425"/>
              <w:jc w:val="left"/>
              <w:rPr>
                <w:rFonts w:asciiTheme="minorHAnsi" w:eastAsiaTheme="majorEastAsia" w:hAnsiTheme="minorHAnsi" w:cstheme="majorBidi"/>
                <w:b/>
                <w:bCs/>
                <w:sz w:val="20"/>
                <w:szCs w:val="22"/>
              </w:rPr>
            </w:pPr>
            <w:r w:rsidRPr="0066013A">
              <w:rPr>
                <w:rFonts w:asciiTheme="minorHAnsi" w:eastAsiaTheme="majorEastAsia" w:hAnsiTheme="minorHAnsi" w:cstheme="majorBidi"/>
                <w:b/>
                <w:bCs/>
                <w:sz w:val="20"/>
                <w:szCs w:val="22"/>
              </w:rPr>
              <w:t>(iii)</w:t>
            </w:r>
            <w:r w:rsidRPr="0066013A">
              <w:rPr>
                <w:rFonts w:asciiTheme="minorHAnsi" w:eastAsiaTheme="majorEastAsia" w:hAnsiTheme="minorHAnsi" w:cstheme="majorBidi"/>
                <w:b/>
                <w:bCs/>
                <w:sz w:val="20"/>
                <w:szCs w:val="22"/>
              </w:rPr>
              <w:tab/>
              <w:t xml:space="preserve">Guided Teaching practice </w:t>
            </w:r>
          </w:p>
          <w:p w:rsidR="0074496E" w:rsidRPr="009E01B3" w:rsidRDefault="0074496E" w:rsidP="0074496E">
            <w:pPr>
              <w:jc w:val="left"/>
              <w:rPr>
                <w:rFonts w:asciiTheme="minorHAnsi" w:hAnsiTheme="minorHAnsi"/>
                <w:sz w:val="20"/>
              </w:rPr>
            </w:pPr>
            <w:r w:rsidRPr="009E01B3">
              <w:rPr>
                <w:rFonts w:asciiTheme="minorHAnsi" w:hAnsiTheme="minorHAnsi"/>
                <w:sz w:val="20"/>
              </w:rPr>
              <w:t>The orientation activities are followed by guided teaching practice in which the student-teacher works under the cooperating teacher in the planning, implementing, and evaluating of lessons.  The guided teaching practice should be participatory, i</w:t>
            </w:r>
            <w:r w:rsidR="00886197">
              <w:rPr>
                <w:rFonts w:asciiTheme="minorHAnsi" w:hAnsiTheme="minorHAnsi"/>
                <w:sz w:val="20"/>
              </w:rPr>
              <w:t xml:space="preserve">nteractive, and collaborative. </w:t>
            </w:r>
            <w:r w:rsidRPr="009E01B3">
              <w:rPr>
                <w:rFonts w:asciiTheme="minorHAnsi" w:hAnsiTheme="minorHAnsi"/>
                <w:sz w:val="20"/>
              </w:rPr>
              <w:t>It should last two weeks of the semester preceding the teaching practice exercise.</w:t>
            </w:r>
          </w:p>
          <w:p w:rsidR="0074496E" w:rsidRPr="009E01B3" w:rsidRDefault="0074496E" w:rsidP="0074496E">
            <w:pPr>
              <w:jc w:val="left"/>
              <w:rPr>
                <w:rFonts w:asciiTheme="minorHAnsi" w:hAnsiTheme="minorHAnsi"/>
                <w:sz w:val="20"/>
              </w:rPr>
            </w:pPr>
          </w:p>
          <w:p w:rsidR="0074496E" w:rsidRPr="0066013A" w:rsidRDefault="0074496E" w:rsidP="0074496E">
            <w:pPr>
              <w:ind w:left="459" w:hanging="425"/>
              <w:jc w:val="left"/>
              <w:rPr>
                <w:rFonts w:asciiTheme="minorHAnsi" w:eastAsiaTheme="majorEastAsia" w:hAnsiTheme="minorHAnsi" w:cstheme="majorBidi"/>
                <w:b/>
                <w:bCs/>
                <w:sz w:val="20"/>
                <w:szCs w:val="22"/>
              </w:rPr>
            </w:pPr>
            <w:r w:rsidRPr="0066013A">
              <w:rPr>
                <w:rFonts w:asciiTheme="minorHAnsi" w:eastAsiaTheme="majorEastAsia" w:hAnsiTheme="minorHAnsi" w:cstheme="majorBidi"/>
                <w:b/>
                <w:bCs/>
                <w:sz w:val="20"/>
                <w:szCs w:val="22"/>
              </w:rPr>
              <w:t>(iv)</w:t>
            </w:r>
            <w:r w:rsidRPr="0066013A">
              <w:rPr>
                <w:rFonts w:asciiTheme="minorHAnsi" w:eastAsiaTheme="majorEastAsia" w:hAnsiTheme="minorHAnsi" w:cstheme="majorBidi"/>
                <w:b/>
                <w:bCs/>
                <w:sz w:val="20"/>
                <w:szCs w:val="22"/>
              </w:rPr>
              <w:tab/>
              <w:t>Full Teaching Practice Sessions</w:t>
            </w:r>
          </w:p>
          <w:p w:rsidR="0074496E" w:rsidRPr="009E01B3" w:rsidRDefault="0074496E" w:rsidP="0074496E">
            <w:pPr>
              <w:jc w:val="left"/>
              <w:rPr>
                <w:rFonts w:asciiTheme="minorHAnsi" w:hAnsiTheme="minorHAnsi"/>
                <w:sz w:val="20"/>
              </w:rPr>
            </w:pPr>
            <w:r w:rsidRPr="009E01B3">
              <w:rPr>
                <w:rFonts w:asciiTheme="minorHAnsi" w:hAnsiTheme="minorHAnsi"/>
                <w:sz w:val="20"/>
              </w:rPr>
              <w:t>The remaining teaching practice sessions of the programme are devoted to full teaching supervision in the sense of coaching and preliminary assessment of the students.  These sessions should involve: observation of lesson notes’ format, procedures, language and organization, supervision and assessment of the lesson (introduction, presentation, activities, evaluation, summary and conclusion); immediate feedback after each lesson observed; and the return of the students’ assessment forms with comment.</w:t>
            </w:r>
          </w:p>
          <w:p w:rsidR="0074496E" w:rsidRPr="009E01B3" w:rsidRDefault="0074496E" w:rsidP="0074496E">
            <w:pPr>
              <w:jc w:val="left"/>
              <w:rPr>
                <w:rFonts w:asciiTheme="minorHAnsi" w:hAnsiTheme="minorHAnsi"/>
                <w:sz w:val="20"/>
              </w:rPr>
            </w:pPr>
          </w:p>
          <w:p w:rsidR="0074496E" w:rsidRPr="0066013A" w:rsidRDefault="0074496E" w:rsidP="0074496E">
            <w:pPr>
              <w:ind w:left="459" w:hanging="425"/>
              <w:jc w:val="left"/>
              <w:rPr>
                <w:rFonts w:asciiTheme="minorHAnsi" w:eastAsiaTheme="majorEastAsia" w:hAnsiTheme="minorHAnsi" w:cstheme="majorBidi"/>
                <w:b/>
                <w:bCs/>
                <w:sz w:val="20"/>
                <w:szCs w:val="22"/>
              </w:rPr>
            </w:pPr>
            <w:r w:rsidRPr="0066013A">
              <w:rPr>
                <w:rFonts w:asciiTheme="minorHAnsi" w:eastAsiaTheme="majorEastAsia" w:hAnsiTheme="minorHAnsi" w:cstheme="majorBidi"/>
                <w:b/>
                <w:bCs/>
                <w:sz w:val="20"/>
                <w:szCs w:val="22"/>
              </w:rPr>
              <w:t>(v)</w:t>
            </w:r>
            <w:r w:rsidRPr="0066013A">
              <w:rPr>
                <w:rFonts w:asciiTheme="minorHAnsi" w:eastAsiaTheme="majorEastAsia" w:hAnsiTheme="minorHAnsi" w:cstheme="majorBidi"/>
                <w:b/>
                <w:bCs/>
                <w:sz w:val="20"/>
                <w:szCs w:val="22"/>
              </w:rPr>
              <w:tab/>
              <w:t>Monitoring of Teaching practice Activities</w:t>
            </w:r>
          </w:p>
          <w:p w:rsidR="0074496E" w:rsidRDefault="0074496E" w:rsidP="00DF3C2D">
            <w:pPr>
              <w:spacing w:after="120"/>
            </w:pPr>
            <w:r w:rsidRPr="009E01B3">
              <w:rPr>
                <w:rFonts w:asciiTheme="minorHAnsi" w:hAnsiTheme="minorHAnsi"/>
                <w:sz w:val="20"/>
              </w:rPr>
              <w:t>It is desirable that Teaching Practice activities are monitored by the State Ministries of Education, Federal Inspectorate Services and NTI State and Zonal offices.  Their efforts will be complemented by NTI Headquarters Staff and the External Moderators.  In each case, comprehensive report should be written and submitted to Headquarters</w:t>
            </w:r>
            <w:r>
              <w:rPr>
                <w:rFonts w:asciiTheme="minorHAnsi" w:hAnsiTheme="minorHAnsi"/>
                <w:sz w:val="20"/>
              </w:rPr>
              <w:t>.</w:t>
            </w:r>
          </w:p>
        </w:tc>
      </w:tr>
    </w:tbl>
    <w:p w:rsidR="004C62C3" w:rsidRPr="00011C46" w:rsidRDefault="001575F8" w:rsidP="004C62C3">
      <w:r>
        <w:rPr>
          <w:rFonts w:eastAsia="Times New Roman" w:cs="Times New Roman"/>
          <w:b/>
          <w:szCs w:val="24"/>
        </w:rPr>
        <w:br/>
      </w:r>
      <w:r w:rsidR="004C62C3">
        <w:t>Useful OER for teaching practice:</w:t>
      </w:r>
    </w:p>
    <w:p w:rsidR="004C62C3" w:rsidRPr="00011C46" w:rsidRDefault="00137789" w:rsidP="004C62C3">
      <w:pPr>
        <w:numPr>
          <w:ilvl w:val="0"/>
          <w:numId w:val="11"/>
        </w:numPr>
      </w:pPr>
      <w:hyperlink r:id="rId15" w:history="1">
        <w:r w:rsidR="004C62C3" w:rsidRPr="00011C46">
          <w:rPr>
            <w:rStyle w:val="Hyperlink"/>
          </w:rPr>
          <w:t>http://</w:t>
        </w:r>
      </w:hyperlink>
      <w:hyperlink r:id="rId16" w:history="1">
        <w:r w:rsidR="004C62C3" w:rsidRPr="00011C46">
          <w:rPr>
            <w:rStyle w:val="Hyperlink"/>
          </w:rPr>
          <w:t>www.tessafrica.net/files/tessafrica/Briefing_note_general_June_2012.pdf</w:t>
        </w:r>
      </w:hyperlink>
    </w:p>
    <w:p w:rsidR="004C62C3" w:rsidRPr="00011C46" w:rsidRDefault="00137789" w:rsidP="004C62C3">
      <w:pPr>
        <w:numPr>
          <w:ilvl w:val="0"/>
          <w:numId w:val="11"/>
        </w:numPr>
      </w:pPr>
      <w:hyperlink r:id="rId17" w:history="1">
        <w:r w:rsidR="004C62C3" w:rsidRPr="00011C46">
          <w:rPr>
            <w:rStyle w:val="Hyperlink"/>
          </w:rPr>
          <w:t>http://www.tessafrica.net/NTI-Toolkit</w:t>
        </w:r>
      </w:hyperlink>
    </w:p>
    <w:p w:rsidR="004C62C3" w:rsidRPr="00011C46" w:rsidRDefault="00137789" w:rsidP="004C62C3">
      <w:pPr>
        <w:numPr>
          <w:ilvl w:val="0"/>
          <w:numId w:val="11"/>
        </w:numPr>
      </w:pPr>
      <w:hyperlink r:id="rId18" w:history="1">
        <w:r w:rsidR="004C62C3" w:rsidRPr="00011C46">
          <w:rPr>
            <w:rStyle w:val="Hyperlink"/>
          </w:rPr>
          <w:t>http://</w:t>
        </w:r>
      </w:hyperlink>
      <w:hyperlink r:id="rId19" w:history="1">
        <w:r w:rsidR="004C62C3" w:rsidRPr="00011C46">
          <w:rPr>
            <w:rStyle w:val="Hyperlink"/>
          </w:rPr>
          <w:t>www.oerafrica.org/resource/supporting-teaching-practice-manual-supervisors-and-mentors</w:t>
        </w:r>
      </w:hyperlink>
    </w:p>
    <w:p w:rsidR="007E2235" w:rsidRDefault="007E2235" w:rsidP="00BE1307">
      <w:pPr>
        <w:pStyle w:val="Heading2"/>
      </w:pPr>
      <w:r>
        <w:t>ICT Infra-structure</w:t>
      </w:r>
      <w:r w:rsidR="004F4802">
        <w:t xml:space="preserve"> </w:t>
      </w:r>
    </w:p>
    <w:p w:rsidR="00404B7A" w:rsidRDefault="008B41EC" w:rsidP="00404B7A">
      <w:r>
        <w:t xml:space="preserve">The delivery of the </w:t>
      </w:r>
      <w:r w:rsidR="00442830">
        <w:t>HCE</w:t>
      </w:r>
      <w:r>
        <w:t xml:space="preserve"> requires technology architecture that can successfully implement the e-learning platform and decentralized student support system. </w:t>
      </w:r>
      <w:r w:rsidRPr="001575F8">
        <w:rPr>
          <w:i/>
        </w:rPr>
        <w:t>Appendix 2, Access to Technology Architecture for the Educator Certificate Programme</w:t>
      </w:r>
      <w:r>
        <w:t xml:space="preserve">, has been prepared primarily to identify and shape the deployment of appropriate software, platform, infrastructure, and network services required to run the Educator Certificate programme in Phase One (first year) as well as Phase Two and Phase Three of implementation. While the </w:t>
      </w:r>
      <w:r w:rsidR="00442830">
        <w:t>HCE</w:t>
      </w:r>
      <w:r>
        <w:t xml:space="preserve"> programme will run at the NID College initially, the plan assumes that it will also be offered at decentralized sites and affiliate institutions in the near future. The solution proposed includes:</w:t>
      </w:r>
    </w:p>
    <w:p w:rsidR="00404B7A" w:rsidRDefault="00DA43E5">
      <w:pPr>
        <w:pStyle w:val="ListParagraph"/>
        <w:numPr>
          <w:ilvl w:val="0"/>
          <w:numId w:val="25"/>
        </w:numPr>
        <w:spacing w:before="120"/>
      </w:pPr>
      <w:r>
        <w:t>Cloud Services</w:t>
      </w:r>
      <w:r w:rsidR="00834F2D">
        <w:t xml:space="preserve">; </w:t>
      </w:r>
    </w:p>
    <w:p w:rsidR="00404B7A" w:rsidRDefault="00DA43E5">
      <w:pPr>
        <w:pStyle w:val="ListParagraph"/>
        <w:numPr>
          <w:ilvl w:val="0"/>
          <w:numId w:val="25"/>
        </w:numPr>
        <w:spacing w:before="120"/>
      </w:pPr>
      <w:r>
        <w:lastRenderedPageBreak/>
        <w:t>Local ICT Infrastructure</w:t>
      </w:r>
      <w:r w:rsidR="00834F2D">
        <w:t xml:space="preserve"> (at NID and decentralized sites/affiliate institutions);</w:t>
      </w:r>
      <w:r w:rsidRPr="005118FF">
        <w:t xml:space="preserve"> </w:t>
      </w:r>
    </w:p>
    <w:p w:rsidR="00404B7A" w:rsidRDefault="00834F2D">
      <w:pPr>
        <w:pStyle w:val="ListParagraph"/>
        <w:numPr>
          <w:ilvl w:val="0"/>
          <w:numId w:val="25"/>
        </w:numPr>
        <w:spacing w:before="120"/>
      </w:pPr>
      <w:r>
        <w:t xml:space="preserve">Canvas </w:t>
      </w:r>
      <w:r w:rsidR="008B41EC">
        <w:t>Learner Management System (LMS)</w:t>
      </w:r>
      <w:r>
        <w:t>;</w:t>
      </w:r>
    </w:p>
    <w:p w:rsidR="00404B7A" w:rsidRDefault="008B41EC">
      <w:pPr>
        <w:pStyle w:val="ListParagraph"/>
        <w:numPr>
          <w:ilvl w:val="0"/>
          <w:numId w:val="25"/>
        </w:numPr>
        <w:spacing w:before="120"/>
      </w:pPr>
      <w:r w:rsidRPr="008B41EC">
        <w:t>Student Information Services</w:t>
      </w:r>
      <w:r w:rsidR="00834F2D">
        <w:t xml:space="preserve"> (SIS);</w:t>
      </w:r>
    </w:p>
    <w:p w:rsidR="00404B7A" w:rsidRDefault="00834F2D">
      <w:pPr>
        <w:pStyle w:val="ListParagraph"/>
        <w:numPr>
          <w:ilvl w:val="0"/>
          <w:numId w:val="25"/>
        </w:numPr>
        <w:spacing w:before="120"/>
      </w:pPr>
      <w:r w:rsidRPr="00834F2D">
        <w:t>Resource Repository: Custom-Built OER Repository</w:t>
      </w:r>
      <w:r>
        <w:t xml:space="preserve">; </w:t>
      </w:r>
    </w:p>
    <w:p w:rsidR="00404B7A" w:rsidRDefault="00834F2D">
      <w:pPr>
        <w:pStyle w:val="ListParagraph"/>
        <w:numPr>
          <w:ilvl w:val="0"/>
          <w:numId w:val="25"/>
        </w:numPr>
        <w:spacing w:before="120"/>
      </w:pPr>
      <w:r w:rsidRPr="00834F2D">
        <w:t>Local Network and Internet Access</w:t>
      </w:r>
      <w:r>
        <w:t>;</w:t>
      </w:r>
    </w:p>
    <w:p w:rsidR="00404B7A" w:rsidRDefault="00834F2D">
      <w:pPr>
        <w:pStyle w:val="ListParagraph"/>
        <w:numPr>
          <w:ilvl w:val="0"/>
          <w:numId w:val="25"/>
        </w:numPr>
        <w:spacing w:before="120"/>
      </w:pPr>
      <w:r>
        <w:t>Staff and Student Computing Devices;</w:t>
      </w:r>
    </w:p>
    <w:p w:rsidR="00404B7A" w:rsidRDefault="00834F2D">
      <w:pPr>
        <w:pStyle w:val="ListParagraph"/>
        <w:numPr>
          <w:ilvl w:val="0"/>
          <w:numId w:val="25"/>
        </w:numPr>
        <w:spacing w:before="120"/>
      </w:pPr>
      <w:r>
        <w:t>Software; and</w:t>
      </w:r>
    </w:p>
    <w:p w:rsidR="00834F2D" w:rsidRDefault="00834F2D" w:rsidP="00834F2D">
      <w:pPr>
        <w:pStyle w:val="ListParagraph"/>
        <w:numPr>
          <w:ilvl w:val="0"/>
          <w:numId w:val="25"/>
        </w:numPr>
        <w:spacing w:before="120"/>
      </w:pPr>
      <w:r>
        <w:t>Additional ICT equipment such as data projectors, scanners, printers, camera’s etc.</w:t>
      </w:r>
    </w:p>
    <w:p w:rsidR="00F1667A" w:rsidRDefault="000176DA" w:rsidP="00BE1307">
      <w:pPr>
        <w:pStyle w:val="Heading2"/>
      </w:pPr>
      <w:r>
        <w:t>Management Strategy</w:t>
      </w:r>
    </w:p>
    <w:p w:rsidR="0074496E" w:rsidRDefault="0034333A" w:rsidP="00937CEA">
      <w:pPr>
        <w:spacing w:after="240"/>
      </w:pPr>
      <w:r w:rsidRPr="0034333A">
        <w:t xml:space="preserve">The following </w:t>
      </w:r>
      <w:r>
        <w:rPr>
          <w:rStyle w:val="FootnoteReference"/>
        </w:rPr>
        <w:footnoteReference w:id="12"/>
      </w:r>
      <w:r w:rsidRPr="0034333A">
        <w:t xml:space="preserve">criteria </w:t>
      </w:r>
      <w:r w:rsidR="00E83924">
        <w:t xml:space="preserve">from the Nadeosa Quality Criteria for Distance Education </w:t>
      </w:r>
      <w:r w:rsidR="000D512D">
        <w:t xml:space="preserve">highlight </w:t>
      </w:r>
      <w:r w:rsidRPr="0034333A">
        <w:t xml:space="preserve">key </w:t>
      </w:r>
      <w:r>
        <w:t xml:space="preserve">elements </w:t>
      </w:r>
      <w:r w:rsidR="00E83924">
        <w:t xml:space="preserve">that can inform NID’s management strategy. </w:t>
      </w:r>
    </w:p>
    <w:tbl>
      <w:tblPr>
        <w:tblStyle w:val="TableGrid"/>
        <w:tblW w:w="0" w:type="auto"/>
        <w:tblLook w:val="00A0" w:firstRow="1" w:lastRow="0" w:firstColumn="1" w:lastColumn="0" w:noHBand="0" w:noVBand="0"/>
      </w:tblPr>
      <w:tblGrid>
        <w:gridCol w:w="9242"/>
      </w:tblGrid>
      <w:tr w:rsidR="0074496E">
        <w:tc>
          <w:tcPr>
            <w:tcW w:w="9242" w:type="dxa"/>
            <w:shd w:val="pct5" w:color="auto" w:fill="auto"/>
          </w:tcPr>
          <w:p w:rsidR="004F4802" w:rsidRPr="00886197" w:rsidRDefault="004F4802" w:rsidP="004F4802">
            <w:pPr>
              <w:spacing w:before="240"/>
              <w:rPr>
                <w:rFonts w:asciiTheme="minorHAnsi" w:eastAsiaTheme="majorEastAsia" w:hAnsiTheme="minorHAnsi" w:cstheme="majorBidi"/>
                <w:b/>
                <w:bCs/>
                <w:sz w:val="22"/>
                <w:szCs w:val="22"/>
              </w:rPr>
            </w:pPr>
            <w:r w:rsidRPr="00886197">
              <w:rPr>
                <w:rFonts w:asciiTheme="minorHAnsi" w:eastAsiaTheme="majorEastAsia" w:hAnsiTheme="minorHAnsi" w:cstheme="majorBidi"/>
                <w:b/>
                <w:bCs/>
                <w:sz w:val="22"/>
                <w:szCs w:val="22"/>
              </w:rPr>
              <w:t>Assessment Management</w:t>
            </w:r>
          </w:p>
          <w:p w:rsidR="004F4802" w:rsidRPr="004F4802" w:rsidRDefault="004F4802" w:rsidP="001111DA">
            <w:pPr>
              <w:spacing w:beforeLines="50" w:before="120" w:afterLines="1" w:after="2"/>
              <w:rPr>
                <w:rFonts w:asciiTheme="minorHAnsi" w:hAnsiTheme="minorHAnsi"/>
                <w:sz w:val="20"/>
              </w:rPr>
            </w:pPr>
            <w:r>
              <w:rPr>
                <w:rFonts w:asciiTheme="minorHAnsi" w:hAnsiTheme="minorHAnsi"/>
                <w:sz w:val="20"/>
                <w:szCs w:val="22"/>
                <w:lang w:val="en-GB" w:eastAsia="en-US"/>
              </w:rPr>
              <w:t xml:space="preserve">6.13 </w:t>
            </w:r>
            <w:r w:rsidRPr="004F4802">
              <w:rPr>
                <w:rFonts w:asciiTheme="minorHAnsi" w:hAnsiTheme="minorHAnsi"/>
                <w:sz w:val="20"/>
              </w:rPr>
              <w:t xml:space="preserve">Marking procedures for both formative and summative assessment promote consistency and accuracy of marking, grading, and provision of feedback to learners. </w:t>
            </w:r>
          </w:p>
          <w:p w:rsidR="004F4802" w:rsidRPr="004F4802" w:rsidRDefault="004F4802" w:rsidP="001111DA">
            <w:pPr>
              <w:spacing w:afterLines="1" w:after="2"/>
              <w:rPr>
                <w:rFonts w:asciiTheme="minorHAnsi" w:hAnsiTheme="minorHAnsi"/>
                <w:sz w:val="20"/>
                <w:szCs w:val="22"/>
                <w:lang w:val="en-GB" w:eastAsia="en-US"/>
              </w:rPr>
            </w:pPr>
            <w:r>
              <w:rPr>
                <w:rFonts w:asciiTheme="minorHAnsi" w:hAnsiTheme="minorHAnsi"/>
                <w:sz w:val="20"/>
                <w:szCs w:val="22"/>
                <w:lang w:val="en-GB" w:eastAsia="en-US"/>
              </w:rPr>
              <w:t xml:space="preserve">6.14 </w:t>
            </w:r>
            <w:r w:rsidRPr="004F4802">
              <w:rPr>
                <w:rFonts w:asciiTheme="minorHAnsi" w:hAnsiTheme="minorHAnsi"/>
                <w:sz w:val="20"/>
                <w:szCs w:val="22"/>
                <w:lang w:val="en-GB" w:eastAsia="en-US"/>
              </w:rPr>
              <w:t>There</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are</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clear</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procedures</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to</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receive,</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record,</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process,</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and</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turnaround</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 xml:space="preserve">assignments within a timeframe that allows learners to benefit from formative feedback prior to the submission of further assessment tasks. </w:t>
            </w:r>
          </w:p>
          <w:p w:rsidR="004F4802" w:rsidRPr="00886197" w:rsidRDefault="004F4802" w:rsidP="001111DA">
            <w:pPr>
              <w:spacing w:afterLines="1" w:after="2"/>
              <w:rPr>
                <w:rFonts w:asciiTheme="minorHAnsi" w:hAnsiTheme="minorHAnsi"/>
                <w:sz w:val="20"/>
                <w:szCs w:val="20"/>
                <w:lang w:val="en-GB" w:eastAsia="en-US"/>
              </w:rPr>
            </w:pPr>
            <w:r>
              <w:rPr>
                <w:rFonts w:asciiTheme="minorHAnsi" w:hAnsiTheme="minorHAnsi"/>
                <w:sz w:val="20"/>
                <w:szCs w:val="22"/>
                <w:lang w:val="en-GB" w:eastAsia="en-US"/>
              </w:rPr>
              <w:t xml:space="preserve">6.15 </w:t>
            </w:r>
            <w:r w:rsidRPr="004F4802">
              <w:rPr>
                <w:rFonts w:asciiTheme="minorHAnsi" w:hAnsiTheme="minorHAnsi"/>
                <w:sz w:val="20"/>
                <w:szCs w:val="22"/>
                <w:lang w:val="en-GB" w:eastAsia="en-US"/>
              </w:rPr>
              <w:t>An</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appeal</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system</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is</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in</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place</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for</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when</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learners</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have</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a</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complaint</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about</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the</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fairness</w:t>
            </w:r>
            <w:r>
              <w:rPr>
                <w:rFonts w:asciiTheme="minorHAnsi" w:hAnsiTheme="minorHAnsi"/>
                <w:sz w:val="20"/>
                <w:szCs w:val="22"/>
                <w:lang w:val="en-GB" w:eastAsia="en-US"/>
              </w:rPr>
              <w:t xml:space="preserve"> </w:t>
            </w:r>
            <w:r w:rsidRPr="004F4802">
              <w:rPr>
                <w:rFonts w:asciiTheme="minorHAnsi" w:hAnsiTheme="minorHAnsi"/>
                <w:sz w:val="20"/>
                <w:szCs w:val="22"/>
                <w:lang w:val="en-GB" w:eastAsia="en-US"/>
              </w:rPr>
              <w:t xml:space="preserve">of the assessment. </w:t>
            </w:r>
          </w:p>
          <w:p w:rsidR="00DF3C2D" w:rsidRPr="00886197" w:rsidRDefault="0074496E" w:rsidP="00886197">
            <w:pPr>
              <w:spacing w:before="240"/>
              <w:rPr>
                <w:rFonts w:asciiTheme="minorHAnsi" w:eastAsiaTheme="majorEastAsia" w:hAnsiTheme="minorHAnsi" w:cstheme="majorBidi"/>
                <w:b/>
                <w:bCs/>
                <w:sz w:val="22"/>
                <w:szCs w:val="22"/>
              </w:rPr>
            </w:pPr>
            <w:r w:rsidRPr="00886197">
              <w:rPr>
                <w:rFonts w:asciiTheme="minorHAnsi" w:eastAsiaTheme="majorEastAsia" w:hAnsiTheme="minorHAnsi" w:cstheme="majorBidi"/>
                <w:b/>
                <w:bCs/>
                <w:sz w:val="22"/>
                <w:szCs w:val="22"/>
              </w:rPr>
              <w:t>Human resource strategy</w:t>
            </w:r>
          </w:p>
          <w:p w:rsidR="0074496E" w:rsidRPr="00053FB9" w:rsidRDefault="0074496E" w:rsidP="001111DA">
            <w:pPr>
              <w:pStyle w:val="ListParagraph"/>
              <w:numPr>
                <w:ilvl w:val="1"/>
                <w:numId w:val="16"/>
              </w:numPr>
              <w:spacing w:beforeLines="50" w:before="120" w:afterLines="1" w:after="2"/>
              <w:ind w:left="357" w:hanging="357"/>
              <w:jc w:val="left"/>
              <w:rPr>
                <w:rFonts w:asciiTheme="minorHAnsi" w:hAnsiTheme="minorHAnsi"/>
                <w:sz w:val="20"/>
              </w:rPr>
            </w:pPr>
            <w:r w:rsidRPr="00DF3C2D">
              <w:rPr>
                <w:rFonts w:asciiTheme="minorHAnsi" w:hAnsiTheme="minorHAnsi"/>
                <w:sz w:val="20"/>
              </w:rPr>
              <w:t xml:space="preserve">The educational provider employs sufficient administrative and technical staff to handle specialized tasks of registry, despatch, management of assignments, administrative support, as well as technical IT support to learners and staff. </w:t>
            </w:r>
          </w:p>
          <w:p w:rsidR="0074496E" w:rsidRPr="00053FB9" w:rsidRDefault="0074496E" w:rsidP="001111DA">
            <w:pPr>
              <w:pStyle w:val="ListParagraph"/>
              <w:numPr>
                <w:ilvl w:val="1"/>
                <w:numId w:val="16"/>
              </w:numPr>
              <w:spacing w:beforeLines="1" w:before="2" w:afterLines="1" w:after="2"/>
              <w:jc w:val="left"/>
              <w:rPr>
                <w:rFonts w:asciiTheme="minorHAnsi" w:hAnsiTheme="minorHAnsi"/>
                <w:sz w:val="20"/>
              </w:rPr>
            </w:pPr>
            <w:r w:rsidRPr="00DF3C2D">
              <w:rPr>
                <w:rFonts w:asciiTheme="minorHAnsi" w:hAnsiTheme="minorHAnsi"/>
                <w:sz w:val="20"/>
              </w:rPr>
              <w:t xml:space="preserve">Staff are trained, monitored, and supported for the specialized roles and tasks they perform, including design, management and delivery of electronically-offered programmes. </w:t>
            </w:r>
          </w:p>
          <w:p w:rsidR="0074496E" w:rsidRPr="00053FB9" w:rsidRDefault="0074496E" w:rsidP="001111DA">
            <w:pPr>
              <w:pStyle w:val="ListParagraph"/>
              <w:numPr>
                <w:ilvl w:val="1"/>
                <w:numId w:val="16"/>
              </w:numPr>
              <w:spacing w:beforeLines="1" w:before="2" w:afterLines="1" w:after="2"/>
              <w:jc w:val="left"/>
              <w:rPr>
                <w:rFonts w:asciiTheme="minorHAnsi" w:hAnsiTheme="minorHAnsi"/>
                <w:sz w:val="20"/>
              </w:rPr>
            </w:pPr>
            <w:r w:rsidRPr="00DF3C2D">
              <w:rPr>
                <w:rFonts w:asciiTheme="minorHAnsi" w:hAnsiTheme="minorHAnsi"/>
                <w:sz w:val="20"/>
              </w:rPr>
              <w:t xml:space="preserve">Staff engaged in online tutoring and moderation of online discussions are qualified and trained for the intensive engagement and direction, which is required. </w:t>
            </w:r>
          </w:p>
          <w:p w:rsidR="0074496E" w:rsidRPr="00886197" w:rsidRDefault="0074496E" w:rsidP="001111DA">
            <w:pPr>
              <w:pStyle w:val="NormalWeb"/>
              <w:spacing w:beforeLines="1" w:before="2" w:beforeAutospacing="0" w:afterLines="1" w:after="2" w:afterAutospacing="0"/>
              <w:rPr>
                <w:rFonts w:asciiTheme="minorHAnsi" w:hAnsiTheme="minorHAnsi"/>
                <w:sz w:val="20"/>
                <w:szCs w:val="20"/>
                <w:lang w:val="en-GB" w:eastAsia="en-US"/>
              </w:rPr>
            </w:pPr>
            <w:r w:rsidRPr="00DF3C2D">
              <w:rPr>
                <w:rFonts w:asciiTheme="minorHAnsi" w:hAnsiTheme="minorHAnsi"/>
                <w:sz w:val="20"/>
              </w:rPr>
              <w:t xml:space="preserve">8.15 </w:t>
            </w:r>
            <w:r w:rsidRPr="00DF3C2D">
              <w:rPr>
                <w:rFonts w:asciiTheme="minorHAnsi" w:hAnsiTheme="minorHAnsi"/>
                <w:sz w:val="20"/>
                <w:szCs w:val="22"/>
                <w:lang w:val="en-GB" w:eastAsia="en-US"/>
              </w:rPr>
              <w:t xml:space="preserve">There is an effective performance management and appraisal system for all staff. </w:t>
            </w:r>
          </w:p>
          <w:p w:rsidR="0074496E" w:rsidRPr="00886197" w:rsidRDefault="0074496E" w:rsidP="00886197">
            <w:pPr>
              <w:spacing w:before="240"/>
              <w:rPr>
                <w:rFonts w:asciiTheme="minorHAnsi" w:eastAsiaTheme="majorEastAsia" w:hAnsiTheme="minorHAnsi" w:cstheme="majorBidi"/>
                <w:b/>
                <w:bCs/>
                <w:sz w:val="22"/>
                <w:szCs w:val="22"/>
              </w:rPr>
            </w:pPr>
            <w:r w:rsidRPr="00886197">
              <w:rPr>
                <w:rFonts w:asciiTheme="minorHAnsi" w:eastAsiaTheme="majorEastAsia" w:hAnsiTheme="minorHAnsi" w:cstheme="majorBidi"/>
                <w:b/>
                <w:bCs/>
                <w:sz w:val="22"/>
                <w:szCs w:val="22"/>
              </w:rPr>
              <w:t xml:space="preserve">Management of communication </w:t>
            </w:r>
          </w:p>
          <w:p w:rsidR="0074496E" w:rsidRPr="00053FB9" w:rsidRDefault="0074496E" w:rsidP="001111DA">
            <w:pPr>
              <w:pStyle w:val="ListParagraph"/>
              <w:numPr>
                <w:ilvl w:val="1"/>
                <w:numId w:val="21"/>
              </w:numPr>
              <w:spacing w:beforeLines="50" w:before="120" w:afterLines="1" w:after="2"/>
              <w:ind w:left="357" w:hanging="357"/>
              <w:jc w:val="left"/>
              <w:rPr>
                <w:rFonts w:asciiTheme="minorHAnsi" w:hAnsiTheme="minorHAnsi"/>
                <w:sz w:val="20"/>
                <w:lang w:val="en-GB" w:eastAsia="en-US"/>
              </w:rPr>
            </w:pPr>
            <w:r w:rsidRPr="00DF3C2D">
              <w:rPr>
                <w:rFonts w:asciiTheme="minorHAnsi" w:hAnsiTheme="minorHAnsi"/>
                <w:sz w:val="20"/>
                <w:lang w:val="en-GB" w:eastAsia="en-US"/>
              </w:rPr>
              <w:t xml:space="preserve">There are effective systems for communication with current and potential learners, with key outside bodies, with governance structures, and with all staff and tutors involved in courses. </w:t>
            </w:r>
          </w:p>
          <w:p w:rsidR="0074496E" w:rsidRPr="00053FB9" w:rsidRDefault="0074496E" w:rsidP="001111DA">
            <w:pPr>
              <w:pStyle w:val="ListParagraph"/>
              <w:numPr>
                <w:ilvl w:val="1"/>
                <w:numId w:val="21"/>
              </w:numPr>
              <w:spacing w:beforeLines="1" w:before="2" w:afterLines="1" w:after="2"/>
              <w:jc w:val="left"/>
              <w:rPr>
                <w:rFonts w:asciiTheme="minorHAnsi" w:hAnsiTheme="minorHAnsi"/>
                <w:sz w:val="20"/>
                <w:lang w:val="en-GB" w:eastAsia="en-US"/>
              </w:rPr>
            </w:pPr>
            <w:r w:rsidRPr="00DF3C2D">
              <w:rPr>
                <w:rFonts w:asciiTheme="minorHAnsi" w:hAnsiTheme="minorHAnsi"/>
                <w:sz w:val="20"/>
                <w:lang w:val="en-GB" w:eastAsia="en-US"/>
              </w:rPr>
              <w:t>Enquiries, applications and complaints are dealt with quickly and clearly within a structured administration system.</w:t>
            </w:r>
          </w:p>
          <w:p w:rsidR="00DF3C2D" w:rsidRPr="00886197" w:rsidRDefault="0074496E" w:rsidP="001111DA">
            <w:pPr>
              <w:pStyle w:val="ListParagraph"/>
              <w:numPr>
                <w:ilvl w:val="1"/>
                <w:numId w:val="21"/>
              </w:numPr>
              <w:spacing w:beforeLines="1" w:before="2" w:afterLines="1" w:after="2"/>
              <w:rPr>
                <w:rFonts w:asciiTheme="minorHAnsi" w:hAnsiTheme="minorHAnsi"/>
                <w:sz w:val="20"/>
                <w:lang w:val="en-GB" w:eastAsia="en-US"/>
              </w:rPr>
            </w:pPr>
            <w:r w:rsidRPr="00DF3C2D">
              <w:rPr>
                <w:rFonts w:asciiTheme="minorHAnsi" w:hAnsiTheme="minorHAnsi"/>
                <w:sz w:val="20"/>
                <w:lang w:val="en-GB" w:eastAsia="en-US"/>
              </w:rPr>
              <w:t xml:space="preserve">Learners’ questions are answered quickly, clearly, and supportively. </w:t>
            </w:r>
          </w:p>
          <w:p w:rsidR="0074496E" w:rsidRPr="00886197" w:rsidRDefault="0074496E" w:rsidP="00886197">
            <w:pPr>
              <w:spacing w:before="240"/>
              <w:rPr>
                <w:rFonts w:asciiTheme="minorHAnsi" w:eastAsiaTheme="majorEastAsia" w:hAnsiTheme="minorHAnsi" w:cstheme="majorBidi"/>
                <w:b/>
                <w:bCs/>
                <w:sz w:val="22"/>
                <w:szCs w:val="22"/>
              </w:rPr>
            </w:pPr>
            <w:r w:rsidRPr="00886197">
              <w:rPr>
                <w:rFonts w:asciiTheme="minorHAnsi" w:eastAsiaTheme="majorEastAsia" w:hAnsiTheme="minorHAnsi" w:cstheme="majorBidi"/>
                <w:b/>
                <w:bCs/>
                <w:sz w:val="22"/>
                <w:szCs w:val="22"/>
              </w:rPr>
              <w:t xml:space="preserve">Management of the curriculum </w:t>
            </w:r>
          </w:p>
          <w:p w:rsidR="0074496E" w:rsidRPr="00053FB9" w:rsidRDefault="0074496E" w:rsidP="001111DA">
            <w:pPr>
              <w:pStyle w:val="ListParagraph"/>
              <w:numPr>
                <w:ilvl w:val="1"/>
                <w:numId w:val="21"/>
              </w:numPr>
              <w:spacing w:beforeLines="50" w:before="120" w:afterLines="1" w:after="2"/>
              <w:ind w:left="357" w:hanging="357"/>
              <w:jc w:val="left"/>
              <w:rPr>
                <w:rFonts w:asciiTheme="minorHAnsi" w:hAnsiTheme="minorHAnsi"/>
                <w:sz w:val="20"/>
                <w:lang w:val="en-GB" w:eastAsia="en-US"/>
              </w:rPr>
            </w:pPr>
            <w:r w:rsidRPr="00DF3C2D">
              <w:rPr>
                <w:rFonts w:asciiTheme="minorHAnsi" w:hAnsiTheme="minorHAnsi"/>
                <w:sz w:val="20"/>
                <w:lang w:val="en-GB" w:eastAsia="en-US"/>
              </w:rPr>
              <w:t xml:space="preserve">Appropriate schedules are developed for all activities forming part of the distance education system, with due attention given to lead times needed to meet deadlines. </w:t>
            </w:r>
          </w:p>
          <w:p w:rsidR="0074496E" w:rsidRPr="00053FB9" w:rsidRDefault="0074496E" w:rsidP="001111DA">
            <w:pPr>
              <w:pStyle w:val="ListParagraph"/>
              <w:numPr>
                <w:ilvl w:val="1"/>
                <w:numId w:val="21"/>
              </w:numPr>
              <w:spacing w:beforeLines="1" w:before="2" w:afterLines="1" w:after="2"/>
              <w:jc w:val="left"/>
              <w:rPr>
                <w:rFonts w:asciiTheme="minorHAnsi" w:hAnsiTheme="minorHAnsi"/>
                <w:sz w:val="20"/>
                <w:lang w:val="en-GB" w:eastAsia="en-US"/>
              </w:rPr>
            </w:pPr>
            <w:r w:rsidRPr="00DF3C2D">
              <w:rPr>
                <w:rFonts w:asciiTheme="minorHAnsi" w:hAnsiTheme="minorHAnsi"/>
                <w:sz w:val="20"/>
                <w:lang w:val="en-GB" w:eastAsia="en-US"/>
              </w:rPr>
              <w:t xml:space="preserve">Enrolment practices include provision of accurate, helpful information to prospective learners, as well as efficient handling of money and registration information. </w:t>
            </w:r>
          </w:p>
          <w:p w:rsidR="0074496E" w:rsidRPr="00053FB9" w:rsidRDefault="0074496E" w:rsidP="001111DA">
            <w:pPr>
              <w:pStyle w:val="ListParagraph"/>
              <w:numPr>
                <w:ilvl w:val="1"/>
                <w:numId w:val="21"/>
              </w:numPr>
              <w:spacing w:beforeLines="1" w:before="2" w:afterLines="1" w:after="2"/>
              <w:ind w:left="426" w:hanging="426"/>
              <w:jc w:val="left"/>
              <w:rPr>
                <w:rFonts w:asciiTheme="minorHAnsi" w:hAnsiTheme="minorHAnsi"/>
                <w:sz w:val="20"/>
                <w:lang w:val="en-GB" w:eastAsia="en-US"/>
              </w:rPr>
            </w:pPr>
            <w:r w:rsidRPr="00DF3C2D">
              <w:rPr>
                <w:rFonts w:asciiTheme="minorHAnsi" w:hAnsiTheme="minorHAnsi"/>
                <w:sz w:val="20"/>
                <w:lang w:val="en-GB" w:eastAsia="en-US"/>
              </w:rPr>
              <w:t xml:space="preserve">Production and delivery of course materials is fast, accurate, and reliable. Where existing systems prove inefficient, creative alternatives are found. </w:t>
            </w:r>
          </w:p>
          <w:p w:rsidR="0074496E" w:rsidRPr="00053FB9" w:rsidRDefault="0074496E" w:rsidP="001111DA">
            <w:pPr>
              <w:pStyle w:val="ListParagraph"/>
              <w:numPr>
                <w:ilvl w:val="1"/>
                <w:numId w:val="21"/>
              </w:numPr>
              <w:spacing w:beforeLines="1" w:before="2" w:afterLines="1" w:after="2"/>
              <w:ind w:left="426" w:hanging="426"/>
              <w:jc w:val="left"/>
              <w:rPr>
                <w:rFonts w:asciiTheme="minorHAnsi" w:hAnsiTheme="minorHAnsi"/>
                <w:sz w:val="20"/>
                <w:lang w:val="en-GB" w:eastAsia="en-US"/>
              </w:rPr>
            </w:pPr>
            <w:r w:rsidRPr="00DF3C2D">
              <w:rPr>
                <w:rFonts w:asciiTheme="minorHAnsi" w:hAnsiTheme="minorHAnsi"/>
                <w:sz w:val="20"/>
                <w:lang w:val="en-GB" w:eastAsia="en-US"/>
              </w:rPr>
              <w:t xml:space="preserve">There are systems to organize decentralized support for remote learners–grouping of learners, allocation of tutors, </w:t>
            </w:r>
            <w:r w:rsidR="00834F2D" w:rsidRPr="00DF3C2D">
              <w:rPr>
                <w:rFonts w:asciiTheme="minorHAnsi" w:hAnsiTheme="minorHAnsi"/>
                <w:sz w:val="20"/>
                <w:lang w:val="en-GB" w:eastAsia="en-US"/>
              </w:rPr>
              <w:t>and location</w:t>
            </w:r>
            <w:r w:rsidRPr="00DF3C2D">
              <w:rPr>
                <w:rFonts w:asciiTheme="minorHAnsi" w:hAnsiTheme="minorHAnsi"/>
                <w:sz w:val="20"/>
                <w:lang w:val="en-GB" w:eastAsia="en-US"/>
              </w:rPr>
              <w:t xml:space="preserve"> of suitable sites of learning. </w:t>
            </w:r>
          </w:p>
          <w:p w:rsidR="0074496E" w:rsidRPr="00053FB9" w:rsidRDefault="0074496E" w:rsidP="001111DA">
            <w:pPr>
              <w:pStyle w:val="ListParagraph"/>
              <w:numPr>
                <w:ilvl w:val="1"/>
                <w:numId w:val="21"/>
              </w:numPr>
              <w:spacing w:beforeLines="1" w:before="2" w:afterLines="1" w:after="2"/>
              <w:ind w:left="426" w:hanging="426"/>
              <w:jc w:val="left"/>
              <w:rPr>
                <w:rFonts w:asciiTheme="minorHAnsi" w:hAnsiTheme="minorHAnsi"/>
                <w:sz w:val="20"/>
                <w:lang w:val="en-GB" w:eastAsia="en-US"/>
              </w:rPr>
            </w:pPr>
            <w:r w:rsidRPr="00DF3C2D">
              <w:rPr>
                <w:rFonts w:asciiTheme="minorHAnsi" w:hAnsiTheme="minorHAnsi"/>
                <w:sz w:val="20"/>
                <w:lang w:val="en-GB" w:eastAsia="en-US"/>
              </w:rPr>
              <w:t xml:space="preserve">There are clear procedures to receive, record, process, and turn around assignments. </w:t>
            </w:r>
          </w:p>
          <w:p w:rsidR="0074496E" w:rsidRPr="00053FB9" w:rsidRDefault="0074496E" w:rsidP="001111DA">
            <w:pPr>
              <w:pStyle w:val="ListParagraph"/>
              <w:numPr>
                <w:ilvl w:val="1"/>
                <w:numId w:val="21"/>
              </w:numPr>
              <w:spacing w:beforeLines="1" w:before="2" w:afterLines="1" w:after="2"/>
              <w:ind w:left="426" w:hanging="426"/>
              <w:jc w:val="left"/>
              <w:rPr>
                <w:rFonts w:asciiTheme="minorHAnsi" w:hAnsiTheme="minorHAnsi"/>
                <w:sz w:val="20"/>
                <w:lang w:val="en-GB" w:eastAsia="en-US"/>
              </w:rPr>
            </w:pPr>
            <w:r w:rsidRPr="00DF3C2D">
              <w:rPr>
                <w:rFonts w:asciiTheme="minorHAnsi" w:hAnsiTheme="minorHAnsi"/>
                <w:sz w:val="20"/>
                <w:lang w:val="en-GB" w:eastAsia="en-US"/>
              </w:rPr>
              <w:t>The turnaround time on assignments is kept to a minimum.</w:t>
            </w:r>
          </w:p>
          <w:p w:rsidR="0074496E" w:rsidRPr="00886197" w:rsidRDefault="0074496E" w:rsidP="001111DA">
            <w:pPr>
              <w:spacing w:beforeLines="1" w:before="2" w:afterLines="1" w:after="2"/>
              <w:jc w:val="left"/>
              <w:rPr>
                <w:rFonts w:asciiTheme="minorHAnsi" w:hAnsiTheme="minorHAnsi"/>
                <w:sz w:val="20"/>
                <w:szCs w:val="20"/>
                <w:lang w:val="en-GB" w:eastAsia="en-US"/>
              </w:rPr>
            </w:pPr>
            <w:r w:rsidRPr="00DF3C2D">
              <w:rPr>
                <w:rFonts w:asciiTheme="minorHAnsi" w:hAnsiTheme="minorHAnsi"/>
                <w:sz w:val="20"/>
                <w:lang w:val="en-GB" w:eastAsia="en-US"/>
              </w:rPr>
              <w:lastRenderedPageBreak/>
              <w:t xml:space="preserve">9.14 The examination system, where it is necessary, is reliable and valid. </w:t>
            </w:r>
          </w:p>
          <w:p w:rsidR="0074496E" w:rsidRPr="00886197" w:rsidRDefault="0074496E" w:rsidP="00886197">
            <w:pPr>
              <w:spacing w:before="240"/>
              <w:rPr>
                <w:rFonts w:asciiTheme="minorHAnsi" w:eastAsiaTheme="majorEastAsia" w:hAnsiTheme="minorHAnsi" w:cstheme="majorBidi"/>
                <w:b/>
                <w:bCs/>
                <w:sz w:val="22"/>
                <w:szCs w:val="22"/>
              </w:rPr>
            </w:pPr>
            <w:r w:rsidRPr="00886197">
              <w:rPr>
                <w:rFonts w:asciiTheme="minorHAnsi" w:eastAsiaTheme="majorEastAsia" w:hAnsiTheme="minorHAnsi" w:cstheme="majorBidi"/>
                <w:b/>
                <w:bCs/>
                <w:sz w:val="22"/>
                <w:szCs w:val="22"/>
              </w:rPr>
              <w:t xml:space="preserve">Management of information </w:t>
            </w:r>
          </w:p>
          <w:p w:rsidR="0074496E" w:rsidRPr="00053FB9" w:rsidRDefault="0074496E" w:rsidP="001111DA">
            <w:pPr>
              <w:pStyle w:val="ListParagraph"/>
              <w:numPr>
                <w:ilvl w:val="1"/>
                <w:numId w:val="23"/>
              </w:numPr>
              <w:spacing w:beforeLines="1" w:before="2" w:afterLines="1" w:after="2"/>
              <w:jc w:val="left"/>
              <w:rPr>
                <w:rFonts w:asciiTheme="minorHAnsi" w:hAnsiTheme="minorHAnsi"/>
                <w:sz w:val="20"/>
                <w:lang w:val="en-GB" w:eastAsia="en-US"/>
              </w:rPr>
            </w:pPr>
            <w:r w:rsidRPr="00DF3C2D">
              <w:rPr>
                <w:rFonts w:asciiTheme="minorHAnsi" w:hAnsiTheme="minorHAnsi"/>
                <w:sz w:val="20"/>
                <w:lang w:val="en-GB" w:eastAsia="en-US"/>
              </w:rPr>
              <w:t xml:space="preserve">Learner records (for example, contact details, assessment results) are detailed, up-to- date, and accessible to tutors, academic and administrative staff. </w:t>
            </w:r>
          </w:p>
          <w:p w:rsidR="0074496E" w:rsidRPr="00053FB9" w:rsidRDefault="0074496E" w:rsidP="001111DA">
            <w:pPr>
              <w:pStyle w:val="ListParagraph"/>
              <w:numPr>
                <w:ilvl w:val="1"/>
                <w:numId w:val="23"/>
              </w:numPr>
              <w:spacing w:beforeLines="1" w:before="2" w:afterLines="1" w:after="2"/>
              <w:ind w:left="426" w:hanging="426"/>
              <w:jc w:val="left"/>
              <w:rPr>
                <w:rFonts w:asciiTheme="minorHAnsi" w:hAnsiTheme="minorHAnsi"/>
                <w:sz w:val="20"/>
                <w:lang w:val="en-GB" w:eastAsia="en-US"/>
              </w:rPr>
            </w:pPr>
            <w:r w:rsidRPr="00DF3C2D">
              <w:rPr>
                <w:rFonts w:asciiTheme="minorHAnsi" w:hAnsiTheme="minorHAnsi"/>
                <w:sz w:val="20"/>
                <w:lang w:val="en-GB" w:eastAsia="en-US"/>
              </w:rPr>
              <w:t>Tutor records (for example, qualifications and experience of tutors) are detailed for each tutor and available to tutor-monitors.  </w:t>
            </w:r>
          </w:p>
          <w:p w:rsidR="0074496E" w:rsidRPr="00DF3C2D" w:rsidRDefault="0074496E" w:rsidP="001111DA">
            <w:pPr>
              <w:pStyle w:val="ListParagraph"/>
              <w:numPr>
                <w:ilvl w:val="1"/>
                <w:numId w:val="23"/>
              </w:numPr>
              <w:spacing w:beforeLines="1" w:before="2" w:afterLines="1" w:after="2"/>
              <w:ind w:left="426" w:hanging="426"/>
              <w:jc w:val="left"/>
              <w:rPr>
                <w:rFonts w:asciiTheme="minorHAnsi" w:hAnsiTheme="minorHAnsi"/>
                <w:sz w:val="20"/>
                <w:szCs w:val="22"/>
                <w:lang w:val="en-GB" w:eastAsia="en-US"/>
              </w:rPr>
            </w:pPr>
            <w:r w:rsidRPr="00DF3C2D">
              <w:rPr>
                <w:rFonts w:asciiTheme="minorHAnsi" w:hAnsiTheme="minorHAnsi"/>
                <w:sz w:val="20"/>
                <w:lang w:val="en-GB" w:eastAsia="en-US"/>
              </w:rPr>
              <w:t xml:space="preserve">Records of course results and other management information can be analyzed to: </w:t>
            </w:r>
          </w:p>
          <w:p w:rsidR="0074496E" w:rsidRPr="00DF3C2D" w:rsidRDefault="0074496E" w:rsidP="001111DA">
            <w:pPr>
              <w:pStyle w:val="ListParagraph"/>
              <w:numPr>
                <w:ilvl w:val="1"/>
                <w:numId w:val="22"/>
              </w:numPr>
              <w:spacing w:beforeLines="1" w:before="2" w:afterLines="1" w:after="2"/>
              <w:jc w:val="left"/>
              <w:rPr>
                <w:rFonts w:asciiTheme="minorHAnsi" w:hAnsiTheme="minorHAnsi"/>
                <w:sz w:val="20"/>
                <w:szCs w:val="22"/>
                <w:lang w:val="en-GB" w:eastAsia="en-US"/>
              </w:rPr>
            </w:pPr>
            <w:r w:rsidRPr="00DF3C2D">
              <w:rPr>
                <w:rFonts w:asciiTheme="minorHAnsi" w:hAnsiTheme="minorHAnsi"/>
                <w:sz w:val="20"/>
                <w:lang w:val="en-GB" w:eastAsia="en-US"/>
              </w:rPr>
              <w:t xml:space="preserve">give completion rates for each group of learners; </w:t>
            </w:r>
          </w:p>
          <w:p w:rsidR="0074496E" w:rsidRPr="00DF3C2D" w:rsidRDefault="0074496E" w:rsidP="001111DA">
            <w:pPr>
              <w:pStyle w:val="ListParagraph"/>
              <w:numPr>
                <w:ilvl w:val="1"/>
                <w:numId w:val="22"/>
              </w:numPr>
              <w:spacing w:beforeLines="1" w:before="2" w:afterLines="1" w:after="2"/>
              <w:jc w:val="left"/>
              <w:rPr>
                <w:rFonts w:asciiTheme="minorHAnsi" w:hAnsiTheme="minorHAnsi"/>
                <w:sz w:val="20"/>
                <w:szCs w:val="22"/>
                <w:lang w:val="en-GB" w:eastAsia="en-US"/>
              </w:rPr>
            </w:pPr>
            <w:r w:rsidRPr="00DF3C2D">
              <w:rPr>
                <w:rFonts w:asciiTheme="minorHAnsi" w:hAnsiTheme="minorHAnsi"/>
                <w:sz w:val="20"/>
                <w:lang w:val="en-GB" w:eastAsia="en-US"/>
              </w:rPr>
              <w:t xml:space="preserve">identify at risk learners; </w:t>
            </w:r>
          </w:p>
          <w:p w:rsidR="0074496E" w:rsidRPr="00053FB9" w:rsidRDefault="008F54A0" w:rsidP="001111DA">
            <w:pPr>
              <w:pStyle w:val="ListParagraph"/>
              <w:numPr>
                <w:ilvl w:val="1"/>
                <w:numId w:val="22"/>
              </w:numPr>
              <w:spacing w:beforeLines="1" w:before="2" w:afterLines="1" w:after="2"/>
              <w:jc w:val="left"/>
              <w:rPr>
                <w:rFonts w:asciiTheme="minorHAnsi" w:hAnsiTheme="minorHAnsi"/>
                <w:sz w:val="20"/>
                <w:lang w:val="en-GB" w:eastAsia="en-US"/>
              </w:rPr>
            </w:pPr>
            <w:r w:rsidRPr="00DF3C2D">
              <w:rPr>
                <w:rFonts w:asciiTheme="minorHAnsi" w:hAnsiTheme="minorHAnsi"/>
                <w:sz w:val="20"/>
                <w:lang w:val="en-GB" w:eastAsia="en-US"/>
              </w:rPr>
              <w:t>Identify</w:t>
            </w:r>
            <w:r w:rsidR="0074496E" w:rsidRPr="00DF3C2D">
              <w:rPr>
                <w:rFonts w:asciiTheme="minorHAnsi" w:hAnsiTheme="minorHAnsi"/>
                <w:sz w:val="20"/>
                <w:lang w:val="en-GB" w:eastAsia="en-US"/>
              </w:rPr>
              <w:t xml:space="preserve"> inactive learners. </w:t>
            </w:r>
          </w:p>
          <w:p w:rsidR="0074496E" w:rsidRPr="00886197" w:rsidRDefault="0074496E" w:rsidP="001111DA">
            <w:pPr>
              <w:pStyle w:val="ListParagraph"/>
              <w:numPr>
                <w:ilvl w:val="1"/>
                <w:numId w:val="23"/>
              </w:numPr>
              <w:spacing w:beforeLines="1" w:before="2" w:afterLines="1" w:after="2"/>
              <w:ind w:left="426" w:hanging="426"/>
              <w:rPr>
                <w:rFonts w:asciiTheme="minorHAnsi" w:hAnsiTheme="minorHAnsi"/>
                <w:sz w:val="20"/>
                <w:szCs w:val="22"/>
                <w:lang w:val="en-GB" w:eastAsia="en-US"/>
              </w:rPr>
            </w:pPr>
            <w:r w:rsidRPr="00DF3C2D">
              <w:rPr>
                <w:rFonts w:asciiTheme="minorHAnsi" w:hAnsiTheme="minorHAnsi"/>
                <w:sz w:val="20"/>
                <w:lang w:val="en-GB" w:eastAsia="en-US"/>
              </w:rPr>
              <w:t xml:space="preserve">Pass, throughput and retention rates are monitored. </w:t>
            </w:r>
          </w:p>
          <w:p w:rsidR="00886197" w:rsidRPr="00886197" w:rsidRDefault="00886197" w:rsidP="00886197">
            <w:pPr>
              <w:spacing w:before="240"/>
              <w:rPr>
                <w:rFonts w:asciiTheme="minorHAnsi" w:eastAsiaTheme="majorEastAsia" w:hAnsiTheme="minorHAnsi" w:cstheme="majorBidi"/>
                <w:b/>
                <w:bCs/>
                <w:sz w:val="22"/>
                <w:szCs w:val="22"/>
              </w:rPr>
            </w:pPr>
            <w:r w:rsidRPr="00886197">
              <w:rPr>
                <w:rFonts w:asciiTheme="minorHAnsi" w:eastAsiaTheme="majorEastAsia" w:hAnsiTheme="minorHAnsi" w:cstheme="majorBidi"/>
                <w:b/>
                <w:bCs/>
                <w:sz w:val="22"/>
                <w:szCs w:val="22"/>
              </w:rPr>
              <w:t xml:space="preserve">Management of facilities and equipment </w:t>
            </w:r>
          </w:p>
          <w:p w:rsidR="00DF3C2D" w:rsidRPr="00053FB9" w:rsidRDefault="0074496E" w:rsidP="001111DA">
            <w:pPr>
              <w:pStyle w:val="ListParagraph"/>
              <w:numPr>
                <w:ilvl w:val="1"/>
                <w:numId w:val="23"/>
              </w:numPr>
              <w:spacing w:beforeLines="50" w:before="120" w:afterLines="1" w:after="2"/>
              <w:ind w:left="425" w:hanging="425"/>
              <w:jc w:val="left"/>
              <w:rPr>
                <w:rFonts w:asciiTheme="minorHAnsi" w:hAnsiTheme="minorHAnsi"/>
                <w:sz w:val="20"/>
                <w:lang w:val="en-GB" w:eastAsia="en-US"/>
              </w:rPr>
            </w:pPr>
            <w:r w:rsidRPr="00DF3C2D">
              <w:rPr>
                <w:rFonts w:asciiTheme="minorHAnsi" w:hAnsiTheme="minorHAnsi"/>
                <w:sz w:val="20"/>
                <w:lang w:val="en-GB" w:eastAsia="en-US"/>
              </w:rPr>
              <w:t>Facilities</w:t>
            </w:r>
            <w:r w:rsidR="00DF3C2D" w:rsidRPr="00DF3C2D">
              <w:rPr>
                <w:rFonts w:asciiTheme="minorHAnsi" w:hAnsiTheme="minorHAnsi"/>
                <w:sz w:val="20"/>
                <w:lang w:val="en-GB" w:eastAsia="en-US"/>
              </w:rPr>
              <w:t xml:space="preserve"> </w:t>
            </w:r>
            <w:r w:rsidRPr="00DF3C2D">
              <w:rPr>
                <w:rFonts w:asciiTheme="minorHAnsi" w:hAnsiTheme="minorHAnsi"/>
                <w:sz w:val="20"/>
                <w:lang w:val="en-GB" w:eastAsia="en-US"/>
              </w:rPr>
              <w:t>and</w:t>
            </w:r>
            <w:r w:rsidR="00DF3C2D" w:rsidRPr="00DF3C2D">
              <w:rPr>
                <w:rFonts w:asciiTheme="minorHAnsi" w:hAnsiTheme="minorHAnsi"/>
                <w:sz w:val="20"/>
                <w:lang w:val="en-GB" w:eastAsia="en-US"/>
              </w:rPr>
              <w:t xml:space="preserve"> </w:t>
            </w:r>
            <w:r w:rsidRPr="00DF3C2D">
              <w:rPr>
                <w:rFonts w:asciiTheme="minorHAnsi" w:hAnsiTheme="minorHAnsi"/>
                <w:sz w:val="20"/>
                <w:lang w:val="en-GB" w:eastAsia="en-US"/>
              </w:rPr>
              <w:t>equipment</w:t>
            </w:r>
            <w:r w:rsidR="00DF3C2D" w:rsidRPr="00DF3C2D">
              <w:rPr>
                <w:rFonts w:asciiTheme="minorHAnsi" w:hAnsiTheme="minorHAnsi"/>
                <w:sz w:val="20"/>
                <w:lang w:val="en-GB" w:eastAsia="en-US"/>
              </w:rPr>
              <w:t xml:space="preserve"> </w:t>
            </w:r>
            <w:r w:rsidRPr="00DF3C2D">
              <w:rPr>
                <w:rFonts w:asciiTheme="minorHAnsi" w:hAnsiTheme="minorHAnsi"/>
                <w:sz w:val="20"/>
                <w:lang w:val="en-GB" w:eastAsia="en-US"/>
              </w:rPr>
              <w:t>support</w:t>
            </w:r>
            <w:r w:rsidR="00DF3C2D" w:rsidRPr="00DF3C2D">
              <w:rPr>
                <w:rFonts w:asciiTheme="minorHAnsi" w:hAnsiTheme="minorHAnsi"/>
                <w:sz w:val="20"/>
                <w:lang w:val="en-GB" w:eastAsia="en-US"/>
              </w:rPr>
              <w:t xml:space="preserve"> </w:t>
            </w:r>
            <w:r w:rsidRPr="00DF3C2D">
              <w:rPr>
                <w:rFonts w:asciiTheme="minorHAnsi" w:hAnsiTheme="minorHAnsi"/>
                <w:sz w:val="20"/>
                <w:lang w:val="en-GB" w:eastAsia="en-US"/>
              </w:rPr>
              <w:t>the</w:t>
            </w:r>
            <w:r w:rsidR="00DF3C2D" w:rsidRPr="00DF3C2D">
              <w:rPr>
                <w:rFonts w:asciiTheme="minorHAnsi" w:hAnsiTheme="minorHAnsi"/>
                <w:sz w:val="20"/>
                <w:lang w:val="en-GB" w:eastAsia="en-US"/>
              </w:rPr>
              <w:t xml:space="preserve"> </w:t>
            </w:r>
            <w:r w:rsidRPr="00DF3C2D">
              <w:rPr>
                <w:rFonts w:asciiTheme="minorHAnsi" w:hAnsiTheme="minorHAnsi"/>
                <w:sz w:val="20"/>
                <w:lang w:val="en-GB" w:eastAsia="en-US"/>
              </w:rPr>
              <w:t>learner</w:t>
            </w:r>
            <w:r w:rsidR="00DF3C2D" w:rsidRPr="00DF3C2D">
              <w:rPr>
                <w:rFonts w:asciiTheme="minorHAnsi" w:hAnsiTheme="minorHAnsi"/>
                <w:sz w:val="20"/>
                <w:lang w:val="en-GB" w:eastAsia="en-US"/>
              </w:rPr>
              <w:t xml:space="preserve"> </w:t>
            </w:r>
            <w:r w:rsidRPr="00DF3C2D">
              <w:rPr>
                <w:rFonts w:asciiTheme="minorHAnsi" w:hAnsiTheme="minorHAnsi"/>
                <w:sz w:val="20"/>
                <w:lang w:val="en-GB" w:eastAsia="en-US"/>
              </w:rPr>
              <w:t>and</w:t>
            </w:r>
            <w:r w:rsidR="00DF3C2D" w:rsidRPr="00DF3C2D">
              <w:rPr>
                <w:rFonts w:asciiTheme="minorHAnsi" w:hAnsiTheme="minorHAnsi"/>
                <w:sz w:val="20"/>
                <w:lang w:val="en-GB" w:eastAsia="en-US"/>
              </w:rPr>
              <w:t xml:space="preserve"> </w:t>
            </w:r>
            <w:r w:rsidRPr="00DF3C2D">
              <w:rPr>
                <w:rFonts w:asciiTheme="minorHAnsi" w:hAnsiTheme="minorHAnsi"/>
                <w:sz w:val="20"/>
                <w:lang w:val="en-GB" w:eastAsia="en-US"/>
              </w:rPr>
              <w:t>are</w:t>
            </w:r>
            <w:r w:rsidR="00DF3C2D">
              <w:rPr>
                <w:rFonts w:asciiTheme="minorHAnsi" w:hAnsiTheme="minorHAnsi"/>
                <w:sz w:val="20"/>
                <w:lang w:val="en-GB" w:eastAsia="en-US"/>
              </w:rPr>
              <w:t xml:space="preserve"> </w:t>
            </w:r>
            <w:r w:rsidRPr="00DF3C2D">
              <w:rPr>
                <w:rFonts w:asciiTheme="minorHAnsi" w:hAnsiTheme="minorHAnsi"/>
                <w:sz w:val="20"/>
                <w:lang w:val="en-GB" w:eastAsia="en-US"/>
              </w:rPr>
              <w:t>appropriate</w:t>
            </w:r>
            <w:r w:rsidR="00DF3C2D">
              <w:rPr>
                <w:rFonts w:asciiTheme="minorHAnsi" w:hAnsiTheme="minorHAnsi"/>
                <w:sz w:val="20"/>
                <w:lang w:val="en-GB" w:eastAsia="en-US"/>
              </w:rPr>
              <w:t xml:space="preserve"> </w:t>
            </w:r>
            <w:r w:rsidRPr="00DF3C2D">
              <w:rPr>
                <w:rFonts w:asciiTheme="minorHAnsi" w:hAnsiTheme="minorHAnsi"/>
                <w:sz w:val="20"/>
                <w:lang w:val="en-GB" w:eastAsia="en-US"/>
              </w:rPr>
              <w:t>for</w:t>
            </w:r>
            <w:r w:rsidR="00DF3C2D">
              <w:rPr>
                <w:rFonts w:asciiTheme="minorHAnsi" w:hAnsiTheme="minorHAnsi"/>
                <w:sz w:val="20"/>
                <w:lang w:val="en-GB" w:eastAsia="en-US"/>
              </w:rPr>
              <w:t xml:space="preserve"> </w:t>
            </w:r>
            <w:r w:rsidRPr="00DF3C2D">
              <w:rPr>
                <w:rFonts w:asciiTheme="minorHAnsi" w:hAnsiTheme="minorHAnsi"/>
                <w:sz w:val="20"/>
                <w:lang w:val="en-GB" w:eastAsia="en-US"/>
              </w:rPr>
              <w:t>the</w:t>
            </w:r>
            <w:r w:rsidR="00DF3C2D">
              <w:rPr>
                <w:rFonts w:asciiTheme="minorHAnsi" w:hAnsiTheme="minorHAnsi"/>
                <w:sz w:val="20"/>
                <w:lang w:val="en-GB" w:eastAsia="en-US"/>
              </w:rPr>
              <w:t xml:space="preserve"> </w:t>
            </w:r>
            <w:r w:rsidRPr="00DF3C2D">
              <w:rPr>
                <w:rFonts w:asciiTheme="minorHAnsi" w:hAnsiTheme="minorHAnsi"/>
                <w:sz w:val="20"/>
                <w:lang w:val="en-GB" w:eastAsia="en-US"/>
              </w:rPr>
              <w:t xml:space="preserve">education and training services provided. </w:t>
            </w:r>
          </w:p>
          <w:p w:rsidR="00053FB9" w:rsidRDefault="0074496E" w:rsidP="001111DA">
            <w:pPr>
              <w:pStyle w:val="ListParagraph"/>
              <w:numPr>
                <w:ilvl w:val="1"/>
                <w:numId w:val="23"/>
              </w:numPr>
              <w:spacing w:beforeLines="1" w:before="2" w:afterLines="1" w:after="2"/>
              <w:ind w:left="426" w:hanging="426"/>
              <w:jc w:val="left"/>
              <w:rPr>
                <w:rFonts w:asciiTheme="minorHAnsi" w:hAnsiTheme="minorHAnsi"/>
                <w:sz w:val="20"/>
                <w:lang w:val="en-GB" w:eastAsia="en-US"/>
              </w:rPr>
            </w:pPr>
            <w:r w:rsidRPr="00DF3C2D">
              <w:rPr>
                <w:rFonts w:asciiTheme="minorHAnsi" w:hAnsiTheme="minorHAnsi"/>
                <w:sz w:val="20"/>
                <w:lang w:val="en-GB" w:eastAsia="en-US"/>
              </w:rPr>
              <w:t>In</w:t>
            </w:r>
            <w:r w:rsidR="00053FB9">
              <w:rPr>
                <w:rFonts w:asciiTheme="minorHAnsi" w:hAnsiTheme="minorHAnsi"/>
                <w:sz w:val="20"/>
                <w:lang w:val="en-GB" w:eastAsia="en-US"/>
              </w:rPr>
              <w:t xml:space="preserve"> </w:t>
            </w:r>
            <w:r w:rsidRPr="00DF3C2D">
              <w:rPr>
                <w:rFonts w:asciiTheme="minorHAnsi" w:hAnsiTheme="minorHAnsi"/>
                <w:sz w:val="20"/>
                <w:lang w:val="en-GB" w:eastAsia="en-US"/>
              </w:rPr>
              <w:t>the</w:t>
            </w:r>
            <w:r w:rsidR="00053FB9">
              <w:rPr>
                <w:rFonts w:asciiTheme="minorHAnsi" w:hAnsiTheme="minorHAnsi"/>
                <w:sz w:val="20"/>
                <w:lang w:val="en-GB" w:eastAsia="en-US"/>
              </w:rPr>
              <w:t xml:space="preserve"> </w:t>
            </w:r>
            <w:r w:rsidRPr="00DF3C2D">
              <w:rPr>
                <w:rFonts w:asciiTheme="minorHAnsi" w:hAnsiTheme="minorHAnsi"/>
                <w:sz w:val="20"/>
                <w:lang w:val="en-GB" w:eastAsia="en-US"/>
              </w:rPr>
              <w:t>case</w:t>
            </w:r>
            <w:r w:rsidR="00053FB9">
              <w:rPr>
                <w:rFonts w:asciiTheme="minorHAnsi" w:hAnsiTheme="minorHAnsi"/>
                <w:sz w:val="20"/>
                <w:lang w:val="en-GB" w:eastAsia="en-US"/>
              </w:rPr>
              <w:t xml:space="preserve"> </w:t>
            </w:r>
            <w:r w:rsidRPr="00DF3C2D">
              <w:rPr>
                <w:rFonts w:asciiTheme="minorHAnsi" w:hAnsiTheme="minorHAnsi"/>
                <w:sz w:val="20"/>
                <w:lang w:val="en-GB" w:eastAsia="en-US"/>
              </w:rPr>
              <w:t>of</w:t>
            </w:r>
            <w:r w:rsidR="00053FB9">
              <w:rPr>
                <w:rFonts w:asciiTheme="minorHAnsi" w:hAnsiTheme="minorHAnsi"/>
                <w:sz w:val="20"/>
                <w:lang w:val="en-GB" w:eastAsia="en-US"/>
              </w:rPr>
              <w:t xml:space="preserve"> </w:t>
            </w:r>
            <w:r w:rsidRPr="00DF3C2D">
              <w:rPr>
                <w:rFonts w:asciiTheme="minorHAnsi" w:hAnsiTheme="minorHAnsi"/>
                <w:sz w:val="20"/>
                <w:lang w:val="en-GB" w:eastAsia="en-US"/>
              </w:rPr>
              <w:t>electronically-offered</w:t>
            </w:r>
            <w:r w:rsidR="00053FB9">
              <w:rPr>
                <w:rFonts w:asciiTheme="minorHAnsi" w:hAnsiTheme="minorHAnsi"/>
                <w:sz w:val="20"/>
                <w:lang w:val="en-GB" w:eastAsia="en-US"/>
              </w:rPr>
              <w:t xml:space="preserve"> </w:t>
            </w:r>
            <w:r w:rsidRPr="00DF3C2D">
              <w:rPr>
                <w:rFonts w:asciiTheme="minorHAnsi" w:hAnsiTheme="minorHAnsi"/>
                <w:sz w:val="20"/>
                <w:lang w:val="en-GB" w:eastAsia="en-US"/>
              </w:rPr>
              <w:t>programmes,</w:t>
            </w:r>
            <w:r w:rsidR="00053FB9">
              <w:rPr>
                <w:rFonts w:asciiTheme="minorHAnsi" w:hAnsiTheme="minorHAnsi"/>
                <w:sz w:val="20"/>
                <w:lang w:val="en-GB" w:eastAsia="en-US"/>
              </w:rPr>
              <w:t xml:space="preserve"> </w:t>
            </w:r>
            <w:r w:rsidRPr="00DF3C2D">
              <w:rPr>
                <w:rFonts w:asciiTheme="minorHAnsi" w:hAnsiTheme="minorHAnsi"/>
                <w:sz w:val="20"/>
                <w:lang w:val="en-GB" w:eastAsia="en-US"/>
              </w:rPr>
              <w:t>the</w:t>
            </w:r>
            <w:r w:rsidR="00053FB9">
              <w:rPr>
                <w:rFonts w:asciiTheme="minorHAnsi" w:hAnsiTheme="minorHAnsi"/>
                <w:sz w:val="20"/>
                <w:lang w:val="en-GB" w:eastAsia="en-US"/>
              </w:rPr>
              <w:t xml:space="preserve"> </w:t>
            </w:r>
            <w:r w:rsidRPr="00DF3C2D">
              <w:rPr>
                <w:rFonts w:asciiTheme="minorHAnsi" w:hAnsiTheme="minorHAnsi"/>
                <w:sz w:val="20"/>
                <w:lang w:val="en-GB" w:eastAsia="en-US"/>
              </w:rPr>
              <w:t>provider</w:t>
            </w:r>
            <w:r w:rsidR="00053FB9">
              <w:rPr>
                <w:rFonts w:asciiTheme="minorHAnsi" w:hAnsiTheme="minorHAnsi"/>
                <w:sz w:val="20"/>
                <w:lang w:val="en-GB" w:eastAsia="en-US"/>
              </w:rPr>
              <w:t xml:space="preserve"> </w:t>
            </w:r>
            <w:r w:rsidRPr="00DF3C2D">
              <w:rPr>
                <w:rFonts w:asciiTheme="minorHAnsi" w:hAnsiTheme="minorHAnsi"/>
                <w:sz w:val="20"/>
                <w:lang w:val="en-GB" w:eastAsia="en-US"/>
              </w:rPr>
              <w:t>ensures</w:t>
            </w:r>
            <w:r w:rsidR="00053FB9">
              <w:rPr>
                <w:rFonts w:asciiTheme="minorHAnsi" w:hAnsiTheme="minorHAnsi"/>
                <w:sz w:val="20"/>
                <w:lang w:val="en-GB" w:eastAsia="en-US"/>
              </w:rPr>
              <w:t xml:space="preserve"> </w:t>
            </w:r>
            <w:r w:rsidRPr="00DF3C2D">
              <w:rPr>
                <w:rFonts w:asciiTheme="minorHAnsi" w:hAnsiTheme="minorHAnsi"/>
                <w:sz w:val="20"/>
                <w:lang w:val="en-GB" w:eastAsia="en-US"/>
              </w:rPr>
              <w:t>the</w:t>
            </w:r>
            <w:r w:rsidR="00053FB9">
              <w:rPr>
                <w:rFonts w:asciiTheme="minorHAnsi" w:hAnsiTheme="minorHAnsi"/>
                <w:sz w:val="20"/>
                <w:lang w:val="en-GB" w:eastAsia="en-US"/>
              </w:rPr>
              <w:t xml:space="preserve"> </w:t>
            </w:r>
            <w:r w:rsidRPr="00DF3C2D">
              <w:rPr>
                <w:rFonts w:asciiTheme="minorHAnsi" w:hAnsiTheme="minorHAnsi"/>
                <w:sz w:val="20"/>
                <w:lang w:val="en-GB" w:eastAsia="en-US"/>
              </w:rPr>
              <w:t xml:space="preserve">reliability and predictability of a ‘fit-for-purpose’ teaching and learning delivery platform, and there is a budget for regular upgrading. </w:t>
            </w:r>
          </w:p>
          <w:p w:rsidR="0074496E" w:rsidRPr="00053FB9" w:rsidRDefault="0074496E" w:rsidP="001111DA">
            <w:pPr>
              <w:pStyle w:val="ListParagraph"/>
              <w:numPr>
                <w:ilvl w:val="1"/>
                <w:numId w:val="23"/>
              </w:numPr>
              <w:spacing w:beforeLines="1" w:before="2" w:afterLines="1" w:after="2"/>
              <w:ind w:left="426" w:hanging="426"/>
              <w:jc w:val="left"/>
              <w:rPr>
                <w:rFonts w:asciiTheme="minorHAnsi" w:hAnsiTheme="minorHAnsi"/>
                <w:sz w:val="20"/>
                <w:lang w:val="en-GB" w:eastAsia="en-US"/>
              </w:rPr>
            </w:pPr>
            <w:r w:rsidRPr="00DF3C2D">
              <w:rPr>
                <w:rFonts w:asciiTheme="minorHAnsi" w:hAnsiTheme="minorHAnsi"/>
                <w:sz w:val="20"/>
                <w:lang w:val="en-GB" w:eastAsia="en-US"/>
              </w:rPr>
              <w:t>Equipment</w:t>
            </w:r>
            <w:r w:rsidR="00053FB9">
              <w:rPr>
                <w:rFonts w:asciiTheme="minorHAnsi" w:hAnsiTheme="minorHAnsi"/>
                <w:sz w:val="20"/>
                <w:lang w:val="en-GB" w:eastAsia="en-US"/>
              </w:rPr>
              <w:t xml:space="preserve"> </w:t>
            </w:r>
            <w:r w:rsidRPr="00DF3C2D">
              <w:rPr>
                <w:rFonts w:asciiTheme="minorHAnsi" w:hAnsiTheme="minorHAnsi"/>
                <w:sz w:val="20"/>
                <w:lang w:val="en-GB" w:eastAsia="en-US"/>
              </w:rPr>
              <w:t>and</w:t>
            </w:r>
            <w:r w:rsidR="00053FB9">
              <w:rPr>
                <w:rFonts w:asciiTheme="minorHAnsi" w:hAnsiTheme="minorHAnsi"/>
                <w:sz w:val="20"/>
                <w:lang w:val="en-GB" w:eastAsia="en-US"/>
              </w:rPr>
              <w:t xml:space="preserve"> </w:t>
            </w:r>
            <w:r w:rsidRPr="00DF3C2D">
              <w:rPr>
                <w:rFonts w:asciiTheme="minorHAnsi" w:hAnsiTheme="minorHAnsi"/>
                <w:sz w:val="20"/>
                <w:lang w:val="en-GB" w:eastAsia="en-US"/>
              </w:rPr>
              <w:t>facilities</w:t>
            </w:r>
            <w:r w:rsidR="00053FB9">
              <w:rPr>
                <w:rFonts w:asciiTheme="minorHAnsi" w:hAnsiTheme="minorHAnsi"/>
                <w:sz w:val="20"/>
                <w:lang w:val="en-GB" w:eastAsia="en-US"/>
              </w:rPr>
              <w:t xml:space="preserve"> </w:t>
            </w:r>
            <w:r w:rsidRPr="00DF3C2D">
              <w:rPr>
                <w:rFonts w:asciiTheme="minorHAnsi" w:hAnsiTheme="minorHAnsi"/>
                <w:sz w:val="20"/>
                <w:lang w:val="en-GB" w:eastAsia="en-US"/>
              </w:rPr>
              <w:t>are</w:t>
            </w:r>
            <w:r w:rsidR="00053FB9">
              <w:rPr>
                <w:rFonts w:asciiTheme="minorHAnsi" w:hAnsiTheme="minorHAnsi"/>
                <w:sz w:val="20"/>
                <w:lang w:val="en-GB" w:eastAsia="en-US"/>
              </w:rPr>
              <w:t xml:space="preserve"> </w:t>
            </w:r>
            <w:r w:rsidRPr="00DF3C2D">
              <w:rPr>
                <w:rFonts w:asciiTheme="minorHAnsi" w:hAnsiTheme="minorHAnsi"/>
                <w:sz w:val="20"/>
                <w:lang w:val="en-GB" w:eastAsia="en-US"/>
              </w:rPr>
              <w:t>well-managed</w:t>
            </w:r>
            <w:r w:rsidR="00053FB9">
              <w:rPr>
                <w:rFonts w:asciiTheme="minorHAnsi" w:hAnsiTheme="minorHAnsi"/>
                <w:sz w:val="20"/>
                <w:lang w:val="en-GB" w:eastAsia="en-US"/>
              </w:rPr>
              <w:t xml:space="preserve"> </w:t>
            </w:r>
            <w:r w:rsidRPr="00DF3C2D">
              <w:rPr>
                <w:rFonts w:asciiTheme="minorHAnsi" w:hAnsiTheme="minorHAnsi"/>
                <w:sz w:val="20"/>
                <w:lang w:val="en-GB" w:eastAsia="en-US"/>
              </w:rPr>
              <w:t>and</w:t>
            </w:r>
            <w:r w:rsidR="00DA1FF0">
              <w:rPr>
                <w:rFonts w:asciiTheme="minorHAnsi" w:hAnsiTheme="minorHAnsi"/>
                <w:sz w:val="20"/>
                <w:lang w:val="en-GB" w:eastAsia="en-US"/>
              </w:rPr>
              <w:t xml:space="preserve"> </w:t>
            </w:r>
            <w:r w:rsidRPr="00DF3C2D">
              <w:rPr>
                <w:rFonts w:asciiTheme="minorHAnsi" w:hAnsiTheme="minorHAnsi"/>
                <w:sz w:val="20"/>
                <w:lang w:val="en-GB" w:eastAsia="en-US"/>
              </w:rPr>
              <w:t>maintained</w:t>
            </w:r>
            <w:r w:rsidR="00053FB9">
              <w:rPr>
                <w:rFonts w:asciiTheme="minorHAnsi" w:hAnsiTheme="minorHAnsi"/>
                <w:sz w:val="20"/>
                <w:lang w:val="en-GB" w:eastAsia="en-US"/>
              </w:rPr>
              <w:t xml:space="preserve"> </w:t>
            </w:r>
            <w:r w:rsidRPr="00DF3C2D">
              <w:rPr>
                <w:rFonts w:asciiTheme="minorHAnsi" w:hAnsiTheme="minorHAnsi"/>
                <w:sz w:val="20"/>
                <w:lang w:val="en-GB" w:eastAsia="en-US"/>
              </w:rPr>
              <w:t>and</w:t>
            </w:r>
            <w:r w:rsidR="00053FB9">
              <w:rPr>
                <w:rFonts w:asciiTheme="minorHAnsi" w:hAnsiTheme="minorHAnsi"/>
                <w:sz w:val="20"/>
                <w:lang w:val="en-GB" w:eastAsia="en-US"/>
              </w:rPr>
              <w:t xml:space="preserve"> </w:t>
            </w:r>
            <w:r w:rsidRPr="00DF3C2D">
              <w:rPr>
                <w:rFonts w:asciiTheme="minorHAnsi" w:hAnsiTheme="minorHAnsi"/>
                <w:sz w:val="20"/>
                <w:lang w:val="en-GB" w:eastAsia="en-US"/>
              </w:rPr>
              <w:t>secure</w:t>
            </w:r>
            <w:r w:rsidR="00053FB9">
              <w:rPr>
                <w:rFonts w:asciiTheme="minorHAnsi" w:hAnsiTheme="minorHAnsi"/>
                <w:sz w:val="20"/>
                <w:lang w:val="en-GB" w:eastAsia="en-US"/>
              </w:rPr>
              <w:t xml:space="preserve"> </w:t>
            </w:r>
            <w:r w:rsidRPr="00DF3C2D">
              <w:rPr>
                <w:rFonts w:asciiTheme="minorHAnsi" w:hAnsiTheme="minorHAnsi"/>
                <w:sz w:val="20"/>
                <w:lang w:val="en-GB" w:eastAsia="en-US"/>
              </w:rPr>
              <w:t>against</w:t>
            </w:r>
            <w:r w:rsidR="00053FB9">
              <w:rPr>
                <w:rFonts w:asciiTheme="minorHAnsi" w:hAnsiTheme="minorHAnsi"/>
                <w:sz w:val="20"/>
                <w:lang w:val="en-GB" w:eastAsia="en-US"/>
              </w:rPr>
              <w:t xml:space="preserve"> </w:t>
            </w:r>
            <w:r w:rsidRPr="00DF3C2D">
              <w:rPr>
                <w:rFonts w:asciiTheme="minorHAnsi" w:hAnsiTheme="minorHAnsi"/>
                <w:sz w:val="20"/>
                <w:lang w:val="en-GB" w:eastAsia="en-US"/>
              </w:rPr>
              <w:t xml:space="preserve">damage or theft. </w:t>
            </w:r>
          </w:p>
          <w:p w:rsidR="0074496E" w:rsidRPr="00053FB9" w:rsidRDefault="0074496E" w:rsidP="001111DA">
            <w:pPr>
              <w:pStyle w:val="ListParagraph"/>
              <w:numPr>
                <w:ilvl w:val="1"/>
                <w:numId w:val="23"/>
              </w:numPr>
              <w:spacing w:beforeLines="1" w:before="2" w:afterLines="1" w:after="2"/>
              <w:ind w:left="426" w:hanging="426"/>
              <w:jc w:val="left"/>
              <w:rPr>
                <w:rFonts w:asciiTheme="minorHAnsi" w:hAnsiTheme="minorHAnsi"/>
                <w:sz w:val="20"/>
                <w:lang w:val="en-GB" w:eastAsia="en-US"/>
              </w:rPr>
            </w:pPr>
            <w:r w:rsidRPr="00DF3C2D">
              <w:rPr>
                <w:rFonts w:asciiTheme="minorHAnsi" w:hAnsiTheme="minorHAnsi"/>
                <w:sz w:val="20"/>
                <w:lang w:val="en-GB" w:eastAsia="en-US"/>
              </w:rPr>
              <w:t>There</w:t>
            </w:r>
            <w:r w:rsidR="00053FB9">
              <w:rPr>
                <w:rFonts w:asciiTheme="minorHAnsi" w:hAnsiTheme="minorHAnsi"/>
                <w:sz w:val="20"/>
                <w:lang w:val="en-GB" w:eastAsia="en-US"/>
              </w:rPr>
              <w:t xml:space="preserve"> </w:t>
            </w:r>
            <w:r w:rsidRPr="00DF3C2D">
              <w:rPr>
                <w:rFonts w:asciiTheme="minorHAnsi" w:hAnsiTheme="minorHAnsi"/>
                <w:sz w:val="20"/>
                <w:lang w:val="en-GB" w:eastAsia="en-US"/>
              </w:rPr>
              <w:t>are</w:t>
            </w:r>
            <w:r w:rsidR="00053FB9">
              <w:rPr>
                <w:rFonts w:asciiTheme="minorHAnsi" w:hAnsiTheme="minorHAnsi"/>
                <w:sz w:val="20"/>
                <w:lang w:val="en-GB" w:eastAsia="en-US"/>
              </w:rPr>
              <w:t xml:space="preserve"> </w:t>
            </w:r>
            <w:r w:rsidRPr="00DF3C2D">
              <w:rPr>
                <w:rFonts w:asciiTheme="minorHAnsi" w:hAnsiTheme="minorHAnsi"/>
                <w:sz w:val="20"/>
                <w:lang w:val="en-GB" w:eastAsia="en-US"/>
              </w:rPr>
              <w:t>emergency</w:t>
            </w:r>
            <w:r w:rsidR="00053FB9">
              <w:rPr>
                <w:rFonts w:asciiTheme="minorHAnsi" w:hAnsiTheme="minorHAnsi"/>
                <w:sz w:val="20"/>
                <w:lang w:val="en-GB" w:eastAsia="en-US"/>
              </w:rPr>
              <w:t xml:space="preserve"> </w:t>
            </w:r>
            <w:r w:rsidRPr="00DF3C2D">
              <w:rPr>
                <w:rFonts w:asciiTheme="minorHAnsi" w:hAnsiTheme="minorHAnsi"/>
                <w:sz w:val="20"/>
                <w:lang w:val="en-GB" w:eastAsia="en-US"/>
              </w:rPr>
              <w:t>methods</w:t>
            </w:r>
            <w:r w:rsidR="00053FB9">
              <w:rPr>
                <w:rFonts w:asciiTheme="minorHAnsi" w:hAnsiTheme="minorHAnsi"/>
                <w:sz w:val="20"/>
                <w:lang w:val="en-GB" w:eastAsia="en-US"/>
              </w:rPr>
              <w:t xml:space="preserve"> </w:t>
            </w:r>
            <w:r w:rsidRPr="00DF3C2D">
              <w:rPr>
                <w:rFonts w:asciiTheme="minorHAnsi" w:hAnsiTheme="minorHAnsi"/>
                <w:sz w:val="20"/>
                <w:lang w:val="en-GB" w:eastAsia="en-US"/>
              </w:rPr>
              <w:t>of</w:t>
            </w:r>
            <w:r w:rsidR="00053FB9">
              <w:rPr>
                <w:rFonts w:asciiTheme="minorHAnsi" w:hAnsiTheme="minorHAnsi"/>
                <w:sz w:val="20"/>
                <w:lang w:val="en-GB" w:eastAsia="en-US"/>
              </w:rPr>
              <w:t xml:space="preserve"> </w:t>
            </w:r>
            <w:r w:rsidRPr="00DF3C2D">
              <w:rPr>
                <w:rFonts w:asciiTheme="minorHAnsi" w:hAnsiTheme="minorHAnsi"/>
                <w:sz w:val="20"/>
                <w:lang w:val="en-GB" w:eastAsia="en-US"/>
              </w:rPr>
              <w:t>communication</w:t>
            </w:r>
            <w:r w:rsidR="00053FB9">
              <w:rPr>
                <w:rFonts w:asciiTheme="minorHAnsi" w:hAnsiTheme="minorHAnsi"/>
                <w:sz w:val="20"/>
                <w:lang w:val="en-GB" w:eastAsia="en-US"/>
              </w:rPr>
              <w:t xml:space="preserve"> </w:t>
            </w:r>
            <w:r w:rsidRPr="00DF3C2D">
              <w:rPr>
                <w:rFonts w:asciiTheme="minorHAnsi" w:hAnsiTheme="minorHAnsi"/>
                <w:sz w:val="20"/>
                <w:lang w:val="en-GB" w:eastAsia="en-US"/>
              </w:rPr>
              <w:t>for</w:t>
            </w:r>
            <w:r w:rsidR="00053FB9">
              <w:rPr>
                <w:rFonts w:asciiTheme="minorHAnsi" w:hAnsiTheme="minorHAnsi"/>
                <w:sz w:val="20"/>
                <w:lang w:val="en-GB" w:eastAsia="en-US"/>
              </w:rPr>
              <w:t xml:space="preserve"> </w:t>
            </w:r>
            <w:r w:rsidRPr="00DF3C2D">
              <w:rPr>
                <w:rFonts w:asciiTheme="minorHAnsi" w:hAnsiTheme="minorHAnsi"/>
                <w:sz w:val="20"/>
                <w:lang w:val="en-GB" w:eastAsia="en-US"/>
              </w:rPr>
              <w:t>use</w:t>
            </w:r>
            <w:r w:rsidR="00053FB9">
              <w:rPr>
                <w:rFonts w:asciiTheme="minorHAnsi" w:hAnsiTheme="minorHAnsi"/>
                <w:sz w:val="20"/>
                <w:lang w:val="en-GB" w:eastAsia="en-US"/>
              </w:rPr>
              <w:t xml:space="preserve"> i</w:t>
            </w:r>
            <w:r w:rsidRPr="00DF3C2D">
              <w:rPr>
                <w:rFonts w:asciiTheme="minorHAnsi" w:hAnsiTheme="minorHAnsi"/>
                <w:sz w:val="20"/>
                <w:lang w:val="en-GB" w:eastAsia="en-US"/>
              </w:rPr>
              <w:t>n</w:t>
            </w:r>
            <w:r w:rsidR="00053FB9">
              <w:rPr>
                <w:rFonts w:asciiTheme="minorHAnsi" w:hAnsiTheme="minorHAnsi"/>
                <w:sz w:val="20"/>
                <w:lang w:val="en-GB" w:eastAsia="en-US"/>
              </w:rPr>
              <w:t xml:space="preserve"> </w:t>
            </w:r>
            <w:r w:rsidRPr="00DF3C2D">
              <w:rPr>
                <w:rFonts w:asciiTheme="minorHAnsi" w:hAnsiTheme="minorHAnsi"/>
                <w:sz w:val="20"/>
                <w:lang w:val="en-GB" w:eastAsia="en-US"/>
              </w:rPr>
              <w:t>the</w:t>
            </w:r>
            <w:r w:rsidR="00053FB9">
              <w:rPr>
                <w:rFonts w:asciiTheme="minorHAnsi" w:hAnsiTheme="minorHAnsi"/>
                <w:sz w:val="20"/>
                <w:lang w:val="en-GB" w:eastAsia="en-US"/>
              </w:rPr>
              <w:t xml:space="preserve"> </w:t>
            </w:r>
            <w:r w:rsidRPr="00DF3C2D">
              <w:rPr>
                <w:rFonts w:asciiTheme="minorHAnsi" w:hAnsiTheme="minorHAnsi"/>
                <w:sz w:val="20"/>
                <w:lang w:val="en-GB" w:eastAsia="en-US"/>
              </w:rPr>
              <w:t>event</w:t>
            </w:r>
            <w:r w:rsidR="00053FB9">
              <w:rPr>
                <w:rFonts w:asciiTheme="minorHAnsi" w:hAnsiTheme="minorHAnsi"/>
                <w:sz w:val="20"/>
                <w:lang w:val="en-GB" w:eastAsia="en-US"/>
              </w:rPr>
              <w:t xml:space="preserve"> </w:t>
            </w:r>
            <w:r w:rsidRPr="00DF3C2D">
              <w:rPr>
                <w:rFonts w:asciiTheme="minorHAnsi" w:hAnsiTheme="minorHAnsi"/>
                <w:sz w:val="20"/>
                <w:lang w:val="en-GB" w:eastAsia="en-US"/>
              </w:rPr>
              <w:t>of</w:t>
            </w:r>
            <w:r w:rsidR="00053FB9">
              <w:rPr>
                <w:rFonts w:asciiTheme="minorHAnsi" w:hAnsiTheme="minorHAnsi"/>
                <w:sz w:val="20"/>
                <w:lang w:val="en-GB" w:eastAsia="en-US"/>
              </w:rPr>
              <w:t xml:space="preserve"> </w:t>
            </w:r>
            <w:r w:rsidRPr="00DF3C2D">
              <w:rPr>
                <w:rFonts w:asciiTheme="minorHAnsi" w:hAnsiTheme="minorHAnsi"/>
                <w:sz w:val="20"/>
                <w:lang w:val="en-GB" w:eastAsia="en-US"/>
              </w:rPr>
              <w:t>a</w:t>
            </w:r>
            <w:r w:rsidR="00053FB9">
              <w:rPr>
                <w:rFonts w:asciiTheme="minorHAnsi" w:hAnsiTheme="minorHAnsi"/>
                <w:sz w:val="20"/>
                <w:lang w:val="en-GB" w:eastAsia="en-US"/>
              </w:rPr>
              <w:t xml:space="preserve"> </w:t>
            </w:r>
            <w:r w:rsidRPr="00DF3C2D">
              <w:rPr>
                <w:rFonts w:asciiTheme="minorHAnsi" w:hAnsiTheme="minorHAnsi"/>
                <w:sz w:val="20"/>
                <w:lang w:val="en-GB" w:eastAsia="en-US"/>
              </w:rPr>
              <w:t>failure</w:t>
            </w:r>
            <w:r w:rsidR="00053FB9">
              <w:rPr>
                <w:rFonts w:asciiTheme="minorHAnsi" w:hAnsiTheme="minorHAnsi"/>
                <w:sz w:val="20"/>
                <w:lang w:val="en-GB" w:eastAsia="en-US"/>
              </w:rPr>
              <w:t xml:space="preserve"> </w:t>
            </w:r>
            <w:r w:rsidRPr="00DF3C2D">
              <w:rPr>
                <w:rFonts w:asciiTheme="minorHAnsi" w:hAnsiTheme="minorHAnsi"/>
                <w:sz w:val="20"/>
                <w:lang w:val="en-GB" w:eastAsia="en-US"/>
              </w:rPr>
              <w:t xml:space="preserve">of the primary channel of communication, and these are fail-safe. </w:t>
            </w:r>
          </w:p>
          <w:p w:rsidR="00053FB9" w:rsidRPr="00886197" w:rsidRDefault="0074496E" w:rsidP="001111DA">
            <w:pPr>
              <w:pStyle w:val="ListParagraph"/>
              <w:numPr>
                <w:ilvl w:val="1"/>
                <w:numId w:val="23"/>
              </w:numPr>
              <w:spacing w:beforeLines="1" w:before="2" w:afterLines="1" w:after="2"/>
              <w:ind w:left="426" w:hanging="426"/>
              <w:rPr>
                <w:rFonts w:asciiTheme="minorHAnsi" w:hAnsiTheme="minorHAnsi"/>
                <w:sz w:val="20"/>
                <w:lang w:val="en-GB" w:eastAsia="en-US"/>
              </w:rPr>
            </w:pPr>
            <w:r w:rsidRPr="00DF3C2D">
              <w:rPr>
                <w:rFonts w:asciiTheme="minorHAnsi" w:hAnsiTheme="minorHAnsi"/>
                <w:sz w:val="20"/>
                <w:lang w:val="en-GB" w:eastAsia="en-US"/>
              </w:rPr>
              <w:t xml:space="preserve">Staff and learners are trained in the use of the equipment, facilities, and communication and information systems. </w:t>
            </w:r>
          </w:p>
          <w:p w:rsidR="0074496E" w:rsidRPr="00886197" w:rsidRDefault="0074496E" w:rsidP="00886197">
            <w:pPr>
              <w:spacing w:before="240"/>
              <w:rPr>
                <w:rFonts w:asciiTheme="minorHAnsi" w:eastAsiaTheme="majorEastAsia" w:hAnsiTheme="minorHAnsi" w:cstheme="majorBidi"/>
                <w:b/>
                <w:bCs/>
                <w:sz w:val="22"/>
                <w:szCs w:val="22"/>
              </w:rPr>
            </w:pPr>
            <w:r w:rsidRPr="00886197">
              <w:rPr>
                <w:rFonts w:asciiTheme="minorHAnsi" w:eastAsiaTheme="majorEastAsia" w:hAnsiTheme="minorHAnsi" w:cstheme="majorBidi"/>
                <w:b/>
                <w:bCs/>
                <w:sz w:val="22"/>
                <w:szCs w:val="22"/>
              </w:rPr>
              <w:t xml:space="preserve">Management of finances </w:t>
            </w:r>
          </w:p>
          <w:p w:rsidR="0074496E" w:rsidRPr="00053FB9" w:rsidRDefault="0074496E" w:rsidP="001111DA">
            <w:pPr>
              <w:pStyle w:val="ListParagraph"/>
              <w:numPr>
                <w:ilvl w:val="1"/>
                <w:numId w:val="23"/>
              </w:numPr>
              <w:spacing w:beforeLines="50" w:before="120" w:afterLines="1" w:after="2"/>
              <w:ind w:left="425" w:hanging="425"/>
              <w:jc w:val="left"/>
              <w:rPr>
                <w:rFonts w:asciiTheme="minorHAnsi" w:hAnsiTheme="minorHAnsi"/>
                <w:sz w:val="20"/>
                <w:lang w:val="en-GB" w:eastAsia="en-US"/>
              </w:rPr>
            </w:pPr>
            <w:r w:rsidRPr="00DF3C2D">
              <w:rPr>
                <w:rFonts w:asciiTheme="minorHAnsi" w:hAnsiTheme="minorHAnsi"/>
                <w:sz w:val="20"/>
                <w:lang w:val="en-GB" w:eastAsia="en-US"/>
              </w:rPr>
              <w:t>Proper</w:t>
            </w:r>
            <w:r w:rsidR="00053FB9">
              <w:rPr>
                <w:rFonts w:asciiTheme="minorHAnsi" w:hAnsiTheme="minorHAnsi"/>
                <w:sz w:val="20"/>
                <w:lang w:val="en-GB" w:eastAsia="en-US"/>
              </w:rPr>
              <w:t xml:space="preserve"> </w:t>
            </w:r>
            <w:r w:rsidRPr="00DF3C2D">
              <w:rPr>
                <w:rFonts w:asciiTheme="minorHAnsi" w:hAnsiTheme="minorHAnsi"/>
                <w:sz w:val="20"/>
                <w:lang w:val="en-GB" w:eastAsia="en-US"/>
              </w:rPr>
              <w:t>budgetary</w:t>
            </w:r>
            <w:r w:rsidR="00053FB9">
              <w:rPr>
                <w:rFonts w:asciiTheme="minorHAnsi" w:hAnsiTheme="minorHAnsi"/>
                <w:sz w:val="20"/>
                <w:lang w:val="en-GB" w:eastAsia="en-US"/>
              </w:rPr>
              <w:t xml:space="preserve"> </w:t>
            </w:r>
            <w:r w:rsidRPr="00DF3C2D">
              <w:rPr>
                <w:rFonts w:asciiTheme="minorHAnsi" w:hAnsiTheme="minorHAnsi"/>
                <w:sz w:val="20"/>
                <w:lang w:val="en-GB" w:eastAsia="en-US"/>
              </w:rPr>
              <w:t>processes</w:t>
            </w:r>
            <w:r w:rsidR="00053FB9">
              <w:rPr>
                <w:rFonts w:asciiTheme="minorHAnsi" w:hAnsiTheme="minorHAnsi"/>
                <w:sz w:val="20"/>
                <w:lang w:val="en-GB" w:eastAsia="en-US"/>
              </w:rPr>
              <w:t xml:space="preserve"> </w:t>
            </w:r>
            <w:r w:rsidRPr="00DF3C2D">
              <w:rPr>
                <w:rFonts w:asciiTheme="minorHAnsi" w:hAnsiTheme="minorHAnsi"/>
                <w:sz w:val="20"/>
                <w:lang w:val="en-GB" w:eastAsia="en-US"/>
              </w:rPr>
              <w:t>are</w:t>
            </w:r>
            <w:r w:rsidR="00053FB9">
              <w:rPr>
                <w:rFonts w:asciiTheme="minorHAnsi" w:hAnsiTheme="minorHAnsi"/>
                <w:sz w:val="20"/>
                <w:lang w:val="en-GB" w:eastAsia="en-US"/>
              </w:rPr>
              <w:t xml:space="preserve"> </w:t>
            </w:r>
            <w:r w:rsidRPr="00DF3C2D">
              <w:rPr>
                <w:rFonts w:asciiTheme="minorHAnsi" w:hAnsiTheme="minorHAnsi"/>
                <w:sz w:val="20"/>
                <w:lang w:val="en-GB" w:eastAsia="en-US"/>
              </w:rPr>
              <w:t>in</w:t>
            </w:r>
            <w:r w:rsidR="00053FB9">
              <w:rPr>
                <w:rFonts w:asciiTheme="minorHAnsi" w:hAnsiTheme="minorHAnsi"/>
                <w:sz w:val="20"/>
                <w:lang w:val="en-GB" w:eastAsia="en-US"/>
              </w:rPr>
              <w:t xml:space="preserve"> </w:t>
            </w:r>
            <w:r w:rsidRPr="00DF3C2D">
              <w:rPr>
                <w:rFonts w:asciiTheme="minorHAnsi" w:hAnsiTheme="minorHAnsi"/>
                <w:sz w:val="20"/>
                <w:lang w:val="en-GB" w:eastAsia="en-US"/>
              </w:rPr>
              <w:t>place</w:t>
            </w:r>
            <w:r w:rsidR="00053FB9">
              <w:rPr>
                <w:rFonts w:asciiTheme="minorHAnsi" w:hAnsiTheme="minorHAnsi"/>
                <w:sz w:val="20"/>
                <w:lang w:val="en-GB" w:eastAsia="en-US"/>
              </w:rPr>
              <w:t xml:space="preserve"> </w:t>
            </w:r>
            <w:r w:rsidRPr="00DF3C2D">
              <w:rPr>
                <w:rFonts w:asciiTheme="minorHAnsi" w:hAnsiTheme="minorHAnsi"/>
                <w:sz w:val="20"/>
                <w:lang w:val="en-GB" w:eastAsia="en-US"/>
              </w:rPr>
              <w:t>to</w:t>
            </w:r>
            <w:r w:rsidR="00053FB9">
              <w:rPr>
                <w:rFonts w:asciiTheme="minorHAnsi" w:hAnsiTheme="minorHAnsi"/>
                <w:sz w:val="20"/>
                <w:lang w:val="en-GB" w:eastAsia="en-US"/>
              </w:rPr>
              <w:t xml:space="preserve"> </w:t>
            </w:r>
            <w:r w:rsidRPr="00DF3C2D">
              <w:rPr>
                <w:rFonts w:asciiTheme="minorHAnsi" w:hAnsiTheme="minorHAnsi"/>
                <w:sz w:val="20"/>
                <w:lang w:val="en-GB" w:eastAsia="en-US"/>
              </w:rPr>
              <w:t>ensure</w:t>
            </w:r>
            <w:r w:rsidR="00053FB9">
              <w:rPr>
                <w:rFonts w:asciiTheme="minorHAnsi" w:hAnsiTheme="minorHAnsi"/>
                <w:sz w:val="20"/>
                <w:lang w:val="en-GB" w:eastAsia="en-US"/>
              </w:rPr>
              <w:t xml:space="preserve"> </w:t>
            </w:r>
            <w:r w:rsidRPr="00DF3C2D">
              <w:rPr>
                <w:rFonts w:asciiTheme="minorHAnsi" w:hAnsiTheme="minorHAnsi"/>
                <w:sz w:val="20"/>
                <w:lang w:val="en-GB" w:eastAsia="en-US"/>
              </w:rPr>
              <w:t>that</w:t>
            </w:r>
            <w:r w:rsidR="00053FB9">
              <w:rPr>
                <w:rFonts w:asciiTheme="minorHAnsi" w:hAnsiTheme="minorHAnsi"/>
                <w:sz w:val="20"/>
                <w:lang w:val="en-GB" w:eastAsia="en-US"/>
              </w:rPr>
              <w:t xml:space="preserve"> </w:t>
            </w:r>
            <w:r w:rsidRPr="00DF3C2D">
              <w:rPr>
                <w:rFonts w:asciiTheme="minorHAnsi" w:hAnsiTheme="minorHAnsi"/>
                <w:sz w:val="20"/>
                <w:lang w:val="en-GB" w:eastAsia="en-US"/>
              </w:rPr>
              <w:t>allocation</w:t>
            </w:r>
            <w:r w:rsidR="00053FB9">
              <w:rPr>
                <w:rFonts w:asciiTheme="minorHAnsi" w:hAnsiTheme="minorHAnsi"/>
                <w:sz w:val="20"/>
                <w:lang w:val="en-GB" w:eastAsia="en-US"/>
              </w:rPr>
              <w:t xml:space="preserve"> </w:t>
            </w:r>
            <w:r w:rsidRPr="00DF3C2D">
              <w:rPr>
                <w:rFonts w:asciiTheme="minorHAnsi" w:hAnsiTheme="minorHAnsi"/>
                <w:sz w:val="20"/>
                <w:lang w:val="en-GB" w:eastAsia="en-US"/>
              </w:rPr>
              <w:t>of</w:t>
            </w:r>
            <w:r w:rsidR="00053FB9">
              <w:rPr>
                <w:rFonts w:asciiTheme="minorHAnsi" w:hAnsiTheme="minorHAnsi"/>
                <w:sz w:val="20"/>
                <w:lang w:val="en-GB" w:eastAsia="en-US"/>
              </w:rPr>
              <w:t xml:space="preserve"> </w:t>
            </w:r>
            <w:r w:rsidRPr="00DF3C2D">
              <w:rPr>
                <w:rFonts w:asciiTheme="minorHAnsi" w:hAnsiTheme="minorHAnsi"/>
                <w:sz w:val="20"/>
                <w:lang w:val="en-GB" w:eastAsia="en-US"/>
              </w:rPr>
              <w:t>resources</w:t>
            </w:r>
            <w:r w:rsidR="00053FB9">
              <w:rPr>
                <w:rFonts w:asciiTheme="minorHAnsi" w:hAnsiTheme="minorHAnsi"/>
                <w:sz w:val="20"/>
                <w:lang w:val="en-GB" w:eastAsia="en-US"/>
              </w:rPr>
              <w:t xml:space="preserve"> </w:t>
            </w:r>
            <w:r w:rsidRPr="00DF3C2D">
              <w:rPr>
                <w:rFonts w:asciiTheme="minorHAnsi" w:hAnsiTheme="minorHAnsi"/>
                <w:sz w:val="20"/>
                <w:lang w:val="en-GB" w:eastAsia="en-US"/>
              </w:rPr>
              <w:t xml:space="preserve">reflects the goals, values and principles of the educational provider. </w:t>
            </w:r>
          </w:p>
          <w:p w:rsidR="0074496E" w:rsidRPr="00053FB9" w:rsidRDefault="0074496E" w:rsidP="001111DA">
            <w:pPr>
              <w:pStyle w:val="ListParagraph"/>
              <w:numPr>
                <w:ilvl w:val="1"/>
                <w:numId w:val="23"/>
              </w:numPr>
              <w:spacing w:beforeLines="1" w:before="2" w:afterLines="1" w:after="2"/>
              <w:ind w:left="426" w:hanging="426"/>
              <w:jc w:val="left"/>
              <w:rPr>
                <w:rFonts w:asciiTheme="minorHAnsi" w:hAnsiTheme="minorHAnsi"/>
                <w:sz w:val="20"/>
                <w:lang w:val="en-GB" w:eastAsia="en-US"/>
              </w:rPr>
            </w:pPr>
            <w:r w:rsidRPr="00DF3C2D">
              <w:rPr>
                <w:rFonts w:asciiTheme="minorHAnsi" w:hAnsiTheme="minorHAnsi"/>
                <w:sz w:val="20"/>
                <w:lang w:val="en-GB" w:eastAsia="en-US"/>
              </w:rPr>
              <w:t xml:space="preserve">Financial procedures (for example, handling of fees, orders, accounts, receipt of external funds, and part-time and full-time salaries) are known and adhered to. </w:t>
            </w:r>
          </w:p>
          <w:p w:rsidR="0074496E" w:rsidRPr="00053FB9" w:rsidRDefault="0074496E" w:rsidP="001111DA">
            <w:pPr>
              <w:pStyle w:val="ListParagraph"/>
              <w:numPr>
                <w:ilvl w:val="1"/>
                <w:numId w:val="23"/>
              </w:numPr>
              <w:spacing w:beforeLines="1" w:before="2" w:afterLines="1" w:after="2"/>
              <w:ind w:left="426" w:hanging="426"/>
              <w:jc w:val="left"/>
              <w:rPr>
                <w:rFonts w:asciiTheme="minorHAnsi" w:hAnsiTheme="minorHAnsi"/>
                <w:sz w:val="20"/>
                <w:lang w:val="en-GB" w:eastAsia="en-US"/>
              </w:rPr>
            </w:pPr>
            <w:r w:rsidRPr="00DF3C2D">
              <w:rPr>
                <w:rFonts w:asciiTheme="minorHAnsi" w:hAnsiTheme="minorHAnsi"/>
                <w:sz w:val="20"/>
                <w:lang w:val="en-GB" w:eastAsia="en-US"/>
              </w:rPr>
              <w:t>Budgeting</w:t>
            </w:r>
            <w:r w:rsidR="00053FB9">
              <w:rPr>
                <w:rFonts w:asciiTheme="minorHAnsi" w:hAnsiTheme="minorHAnsi"/>
                <w:sz w:val="20"/>
                <w:lang w:val="en-GB" w:eastAsia="en-US"/>
              </w:rPr>
              <w:t xml:space="preserve"> </w:t>
            </w:r>
            <w:r w:rsidRPr="00DF3C2D">
              <w:rPr>
                <w:rFonts w:asciiTheme="minorHAnsi" w:hAnsiTheme="minorHAnsi"/>
                <w:sz w:val="20"/>
                <w:lang w:val="en-GB" w:eastAsia="en-US"/>
              </w:rPr>
              <w:t>procedures</w:t>
            </w:r>
            <w:r w:rsidR="00053FB9">
              <w:rPr>
                <w:rFonts w:asciiTheme="minorHAnsi" w:hAnsiTheme="minorHAnsi"/>
                <w:sz w:val="20"/>
                <w:lang w:val="en-GB" w:eastAsia="en-US"/>
              </w:rPr>
              <w:t xml:space="preserve"> </w:t>
            </w:r>
            <w:r w:rsidRPr="00DF3C2D">
              <w:rPr>
                <w:rFonts w:asciiTheme="minorHAnsi" w:hAnsiTheme="minorHAnsi"/>
                <w:sz w:val="20"/>
                <w:lang w:val="en-GB" w:eastAsia="en-US"/>
              </w:rPr>
              <w:t>are</w:t>
            </w:r>
            <w:r w:rsidR="00053FB9">
              <w:rPr>
                <w:rFonts w:asciiTheme="minorHAnsi" w:hAnsiTheme="minorHAnsi"/>
                <w:sz w:val="20"/>
                <w:lang w:val="en-GB" w:eastAsia="en-US"/>
              </w:rPr>
              <w:t xml:space="preserve"> </w:t>
            </w:r>
            <w:r w:rsidRPr="00DF3C2D">
              <w:rPr>
                <w:rFonts w:asciiTheme="minorHAnsi" w:hAnsiTheme="minorHAnsi"/>
                <w:sz w:val="20"/>
                <w:lang w:val="en-GB" w:eastAsia="en-US"/>
              </w:rPr>
              <w:t>in</w:t>
            </w:r>
            <w:r w:rsidR="00053FB9">
              <w:rPr>
                <w:rFonts w:asciiTheme="minorHAnsi" w:hAnsiTheme="minorHAnsi"/>
                <w:sz w:val="20"/>
                <w:lang w:val="en-GB" w:eastAsia="en-US"/>
              </w:rPr>
              <w:t xml:space="preserve"> </w:t>
            </w:r>
            <w:r w:rsidRPr="00DF3C2D">
              <w:rPr>
                <w:rFonts w:asciiTheme="minorHAnsi" w:hAnsiTheme="minorHAnsi"/>
                <w:sz w:val="20"/>
                <w:lang w:val="en-GB" w:eastAsia="en-US"/>
              </w:rPr>
              <w:t>place</w:t>
            </w:r>
            <w:r w:rsidR="00053FB9">
              <w:rPr>
                <w:rFonts w:asciiTheme="minorHAnsi" w:hAnsiTheme="minorHAnsi"/>
                <w:sz w:val="20"/>
                <w:lang w:val="en-GB" w:eastAsia="en-US"/>
              </w:rPr>
              <w:t xml:space="preserve"> </w:t>
            </w:r>
            <w:r w:rsidRPr="00DF3C2D">
              <w:rPr>
                <w:rFonts w:asciiTheme="minorHAnsi" w:hAnsiTheme="minorHAnsi"/>
                <w:sz w:val="20"/>
                <w:lang w:val="en-GB" w:eastAsia="en-US"/>
              </w:rPr>
              <w:t>to</w:t>
            </w:r>
            <w:r w:rsidR="00053FB9">
              <w:rPr>
                <w:rFonts w:asciiTheme="minorHAnsi" w:hAnsiTheme="minorHAnsi"/>
                <w:sz w:val="20"/>
                <w:lang w:val="en-GB" w:eastAsia="en-US"/>
              </w:rPr>
              <w:t xml:space="preserve"> </w:t>
            </w:r>
            <w:r w:rsidRPr="00DF3C2D">
              <w:rPr>
                <w:rFonts w:asciiTheme="minorHAnsi" w:hAnsiTheme="minorHAnsi"/>
                <w:sz w:val="20"/>
                <w:lang w:val="en-GB" w:eastAsia="en-US"/>
              </w:rPr>
              <w:t>deal</w:t>
            </w:r>
            <w:r w:rsidR="00053FB9">
              <w:rPr>
                <w:rFonts w:asciiTheme="minorHAnsi" w:hAnsiTheme="minorHAnsi"/>
                <w:sz w:val="20"/>
                <w:lang w:val="en-GB" w:eastAsia="en-US"/>
              </w:rPr>
              <w:t xml:space="preserve"> </w:t>
            </w:r>
            <w:r w:rsidRPr="00DF3C2D">
              <w:rPr>
                <w:rFonts w:asciiTheme="minorHAnsi" w:hAnsiTheme="minorHAnsi"/>
                <w:sz w:val="20"/>
                <w:lang w:val="en-GB" w:eastAsia="en-US"/>
              </w:rPr>
              <w:t>with</w:t>
            </w:r>
            <w:r w:rsidR="00053FB9">
              <w:rPr>
                <w:rFonts w:asciiTheme="minorHAnsi" w:hAnsiTheme="minorHAnsi"/>
                <w:sz w:val="20"/>
                <w:lang w:val="en-GB" w:eastAsia="en-US"/>
              </w:rPr>
              <w:t xml:space="preserve"> </w:t>
            </w:r>
            <w:r w:rsidRPr="00DF3C2D">
              <w:rPr>
                <w:rFonts w:asciiTheme="minorHAnsi" w:hAnsiTheme="minorHAnsi"/>
                <w:sz w:val="20"/>
                <w:lang w:val="en-GB" w:eastAsia="en-US"/>
              </w:rPr>
              <w:t>allocation</w:t>
            </w:r>
            <w:r w:rsidR="00053FB9">
              <w:rPr>
                <w:rFonts w:asciiTheme="minorHAnsi" w:hAnsiTheme="minorHAnsi"/>
                <w:sz w:val="20"/>
                <w:lang w:val="en-GB" w:eastAsia="en-US"/>
              </w:rPr>
              <w:t xml:space="preserve"> </w:t>
            </w:r>
            <w:r w:rsidRPr="00DF3C2D">
              <w:rPr>
                <w:rFonts w:asciiTheme="minorHAnsi" w:hAnsiTheme="minorHAnsi"/>
                <w:sz w:val="20"/>
                <w:lang w:val="en-GB" w:eastAsia="en-US"/>
              </w:rPr>
              <w:t>of</w:t>
            </w:r>
            <w:r w:rsidR="00053FB9">
              <w:rPr>
                <w:rFonts w:asciiTheme="minorHAnsi" w:hAnsiTheme="minorHAnsi"/>
                <w:sz w:val="20"/>
                <w:lang w:val="en-GB" w:eastAsia="en-US"/>
              </w:rPr>
              <w:t xml:space="preserve"> </w:t>
            </w:r>
            <w:r w:rsidRPr="00DF3C2D">
              <w:rPr>
                <w:rFonts w:asciiTheme="minorHAnsi" w:hAnsiTheme="minorHAnsi"/>
                <w:sz w:val="20"/>
                <w:lang w:val="en-GB" w:eastAsia="en-US"/>
              </w:rPr>
              <w:t>resources</w:t>
            </w:r>
            <w:r w:rsidR="00053FB9">
              <w:rPr>
                <w:rFonts w:asciiTheme="minorHAnsi" w:hAnsiTheme="minorHAnsi"/>
                <w:sz w:val="20"/>
                <w:lang w:val="en-GB" w:eastAsia="en-US"/>
              </w:rPr>
              <w:t xml:space="preserve"> </w:t>
            </w:r>
            <w:r w:rsidRPr="00DF3C2D">
              <w:rPr>
                <w:rFonts w:asciiTheme="minorHAnsi" w:hAnsiTheme="minorHAnsi"/>
                <w:sz w:val="20"/>
                <w:lang w:val="en-GB" w:eastAsia="en-US"/>
              </w:rPr>
              <w:t>and</w:t>
            </w:r>
            <w:r w:rsidR="00053FB9">
              <w:rPr>
                <w:rFonts w:asciiTheme="minorHAnsi" w:hAnsiTheme="minorHAnsi"/>
                <w:sz w:val="20"/>
                <w:lang w:val="en-GB" w:eastAsia="en-US"/>
              </w:rPr>
              <w:t xml:space="preserve"> </w:t>
            </w:r>
            <w:r w:rsidRPr="00DF3C2D">
              <w:rPr>
                <w:rFonts w:asciiTheme="minorHAnsi" w:hAnsiTheme="minorHAnsi"/>
                <w:sz w:val="20"/>
                <w:lang w:val="en-GB" w:eastAsia="en-US"/>
              </w:rPr>
              <w:t xml:space="preserve">monitoring of expenditure. Budgeting procedures are flexible enough to promote and enable constructive experimentation in design and delivery methods. </w:t>
            </w:r>
          </w:p>
          <w:p w:rsidR="0074496E" w:rsidRPr="00053FB9" w:rsidRDefault="0074496E" w:rsidP="001111DA">
            <w:pPr>
              <w:pStyle w:val="ListParagraph"/>
              <w:numPr>
                <w:ilvl w:val="1"/>
                <w:numId w:val="23"/>
              </w:numPr>
              <w:spacing w:beforeLines="1" w:before="2" w:afterLines="1" w:after="2"/>
              <w:ind w:left="426" w:hanging="426"/>
              <w:jc w:val="left"/>
              <w:rPr>
                <w:rFonts w:asciiTheme="minorHAnsi" w:hAnsiTheme="minorHAnsi"/>
                <w:sz w:val="20"/>
                <w:lang w:val="en-GB" w:eastAsia="en-US"/>
              </w:rPr>
            </w:pPr>
            <w:r w:rsidRPr="00DF3C2D">
              <w:rPr>
                <w:rFonts w:asciiTheme="minorHAnsi" w:hAnsiTheme="minorHAnsi"/>
                <w:sz w:val="20"/>
                <w:lang w:val="en-GB" w:eastAsia="en-US"/>
              </w:rPr>
              <w:t>Proper</w:t>
            </w:r>
            <w:r w:rsidR="00053FB9">
              <w:rPr>
                <w:rFonts w:asciiTheme="minorHAnsi" w:hAnsiTheme="minorHAnsi"/>
                <w:sz w:val="20"/>
                <w:lang w:val="en-GB" w:eastAsia="en-US"/>
              </w:rPr>
              <w:t xml:space="preserve"> </w:t>
            </w:r>
            <w:r w:rsidRPr="00DF3C2D">
              <w:rPr>
                <w:rFonts w:asciiTheme="minorHAnsi" w:hAnsiTheme="minorHAnsi"/>
                <w:sz w:val="20"/>
                <w:lang w:val="en-GB" w:eastAsia="en-US"/>
              </w:rPr>
              <w:t>evaluation</w:t>
            </w:r>
            <w:r w:rsidR="00053FB9">
              <w:rPr>
                <w:rFonts w:asciiTheme="minorHAnsi" w:hAnsiTheme="minorHAnsi"/>
                <w:sz w:val="20"/>
                <w:lang w:val="en-GB" w:eastAsia="en-US"/>
              </w:rPr>
              <w:t xml:space="preserve"> </w:t>
            </w:r>
            <w:r w:rsidRPr="00DF3C2D">
              <w:rPr>
                <w:rFonts w:asciiTheme="minorHAnsi" w:hAnsiTheme="minorHAnsi"/>
                <w:sz w:val="20"/>
                <w:lang w:val="en-GB" w:eastAsia="en-US"/>
              </w:rPr>
              <w:t>systems</w:t>
            </w:r>
            <w:r w:rsidR="00053FB9">
              <w:rPr>
                <w:rFonts w:asciiTheme="minorHAnsi" w:hAnsiTheme="minorHAnsi"/>
                <w:sz w:val="20"/>
                <w:lang w:val="en-GB" w:eastAsia="en-US"/>
              </w:rPr>
              <w:t xml:space="preserve"> </w:t>
            </w:r>
            <w:r w:rsidRPr="00DF3C2D">
              <w:rPr>
                <w:rFonts w:asciiTheme="minorHAnsi" w:hAnsiTheme="minorHAnsi"/>
                <w:sz w:val="20"/>
                <w:lang w:val="en-GB" w:eastAsia="en-US"/>
              </w:rPr>
              <w:t>are</w:t>
            </w:r>
            <w:r w:rsidR="00053FB9">
              <w:rPr>
                <w:rFonts w:asciiTheme="minorHAnsi" w:hAnsiTheme="minorHAnsi"/>
                <w:sz w:val="20"/>
                <w:lang w:val="en-GB" w:eastAsia="en-US"/>
              </w:rPr>
              <w:t xml:space="preserve"> </w:t>
            </w:r>
            <w:r w:rsidRPr="00DF3C2D">
              <w:rPr>
                <w:rFonts w:asciiTheme="minorHAnsi" w:hAnsiTheme="minorHAnsi"/>
                <w:sz w:val="20"/>
                <w:lang w:val="en-GB" w:eastAsia="en-US"/>
              </w:rPr>
              <w:t>in</w:t>
            </w:r>
            <w:r w:rsidR="00053FB9">
              <w:rPr>
                <w:rFonts w:asciiTheme="minorHAnsi" w:hAnsiTheme="minorHAnsi"/>
                <w:sz w:val="20"/>
                <w:lang w:val="en-GB" w:eastAsia="en-US"/>
              </w:rPr>
              <w:t xml:space="preserve"> </w:t>
            </w:r>
            <w:r w:rsidRPr="00DF3C2D">
              <w:rPr>
                <w:rFonts w:asciiTheme="minorHAnsi" w:hAnsiTheme="minorHAnsi"/>
                <w:sz w:val="20"/>
                <w:lang w:val="en-GB" w:eastAsia="en-US"/>
              </w:rPr>
              <w:t>place</w:t>
            </w:r>
            <w:r w:rsidR="00053FB9">
              <w:rPr>
                <w:rFonts w:asciiTheme="minorHAnsi" w:hAnsiTheme="minorHAnsi"/>
                <w:sz w:val="20"/>
                <w:lang w:val="en-GB" w:eastAsia="en-US"/>
              </w:rPr>
              <w:t xml:space="preserve"> </w:t>
            </w:r>
            <w:r w:rsidRPr="00DF3C2D">
              <w:rPr>
                <w:rFonts w:asciiTheme="minorHAnsi" w:hAnsiTheme="minorHAnsi"/>
                <w:sz w:val="20"/>
                <w:lang w:val="en-GB" w:eastAsia="en-US"/>
              </w:rPr>
              <w:t>to</w:t>
            </w:r>
            <w:r w:rsidR="00053FB9">
              <w:rPr>
                <w:rFonts w:asciiTheme="minorHAnsi" w:hAnsiTheme="minorHAnsi"/>
                <w:sz w:val="20"/>
                <w:lang w:val="en-GB" w:eastAsia="en-US"/>
              </w:rPr>
              <w:t xml:space="preserve"> </w:t>
            </w:r>
            <w:r w:rsidRPr="00DF3C2D">
              <w:rPr>
                <w:rFonts w:asciiTheme="minorHAnsi" w:hAnsiTheme="minorHAnsi"/>
                <w:sz w:val="20"/>
                <w:lang w:val="en-GB" w:eastAsia="en-US"/>
              </w:rPr>
              <w:t>compare</w:t>
            </w:r>
            <w:r w:rsidR="00053FB9">
              <w:rPr>
                <w:rFonts w:asciiTheme="minorHAnsi" w:hAnsiTheme="minorHAnsi"/>
                <w:sz w:val="20"/>
                <w:lang w:val="en-GB" w:eastAsia="en-US"/>
              </w:rPr>
              <w:t xml:space="preserve"> </w:t>
            </w:r>
            <w:r w:rsidRPr="00DF3C2D">
              <w:rPr>
                <w:rFonts w:asciiTheme="minorHAnsi" w:hAnsiTheme="minorHAnsi"/>
                <w:sz w:val="20"/>
                <w:lang w:val="en-GB" w:eastAsia="en-US"/>
              </w:rPr>
              <w:t>estimated</w:t>
            </w:r>
            <w:r w:rsidR="00053FB9">
              <w:rPr>
                <w:rFonts w:asciiTheme="minorHAnsi" w:hAnsiTheme="minorHAnsi"/>
                <w:sz w:val="20"/>
                <w:lang w:val="en-GB" w:eastAsia="en-US"/>
              </w:rPr>
              <w:t xml:space="preserve"> </w:t>
            </w:r>
            <w:r w:rsidRPr="00DF3C2D">
              <w:rPr>
                <w:rFonts w:asciiTheme="minorHAnsi" w:hAnsiTheme="minorHAnsi"/>
                <w:sz w:val="20"/>
                <w:lang w:val="en-GB" w:eastAsia="en-US"/>
              </w:rPr>
              <w:t>goals</w:t>
            </w:r>
            <w:r w:rsidR="00053FB9">
              <w:rPr>
                <w:rFonts w:asciiTheme="minorHAnsi" w:hAnsiTheme="minorHAnsi"/>
                <w:sz w:val="20"/>
                <w:lang w:val="en-GB" w:eastAsia="en-US"/>
              </w:rPr>
              <w:t xml:space="preserve"> </w:t>
            </w:r>
            <w:r w:rsidRPr="00DF3C2D">
              <w:rPr>
                <w:rFonts w:asciiTheme="minorHAnsi" w:hAnsiTheme="minorHAnsi"/>
                <w:sz w:val="20"/>
                <w:lang w:val="en-GB" w:eastAsia="en-US"/>
              </w:rPr>
              <w:t>and</w:t>
            </w:r>
            <w:r w:rsidR="00053FB9">
              <w:rPr>
                <w:rFonts w:asciiTheme="minorHAnsi" w:hAnsiTheme="minorHAnsi"/>
                <w:sz w:val="20"/>
                <w:lang w:val="en-GB" w:eastAsia="en-US"/>
              </w:rPr>
              <w:t xml:space="preserve"> </w:t>
            </w:r>
            <w:r w:rsidRPr="00DF3C2D">
              <w:rPr>
                <w:rFonts w:asciiTheme="minorHAnsi" w:hAnsiTheme="minorHAnsi"/>
                <w:sz w:val="20"/>
                <w:lang w:val="en-GB" w:eastAsia="en-US"/>
              </w:rPr>
              <w:t>budgets</w:t>
            </w:r>
            <w:r w:rsidR="00053FB9">
              <w:rPr>
                <w:rFonts w:asciiTheme="minorHAnsi" w:hAnsiTheme="minorHAnsi"/>
                <w:sz w:val="20"/>
                <w:lang w:val="en-GB" w:eastAsia="en-US"/>
              </w:rPr>
              <w:t xml:space="preserve"> </w:t>
            </w:r>
            <w:r w:rsidRPr="00DF3C2D">
              <w:rPr>
                <w:rFonts w:asciiTheme="minorHAnsi" w:hAnsiTheme="minorHAnsi"/>
                <w:sz w:val="20"/>
                <w:lang w:val="en-GB" w:eastAsia="en-US"/>
              </w:rPr>
              <w:t xml:space="preserve">with actual achievements. </w:t>
            </w:r>
          </w:p>
          <w:p w:rsidR="00053FB9" w:rsidRDefault="0074496E" w:rsidP="001111DA">
            <w:pPr>
              <w:pStyle w:val="ListParagraph"/>
              <w:numPr>
                <w:ilvl w:val="1"/>
                <w:numId w:val="23"/>
              </w:numPr>
              <w:spacing w:beforeLines="1" w:before="2" w:afterLines="1" w:after="2"/>
              <w:ind w:left="426" w:hanging="426"/>
              <w:jc w:val="left"/>
              <w:rPr>
                <w:rFonts w:asciiTheme="minorHAnsi" w:hAnsiTheme="minorHAnsi"/>
                <w:sz w:val="20"/>
                <w:lang w:val="en-GB" w:eastAsia="en-US"/>
              </w:rPr>
            </w:pPr>
            <w:r w:rsidRPr="00DF3C2D">
              <w:rPr>
                <w:rFonts w:asciiTheme="minorHAnsi" w:hAnsiTheme="minorHAnsi"/>
                <w:sz w:val="20"/>
                <w:lang w:val="en-GB" w:eastAsia="en-US"/>
              </w:rPr>
              <w:t>Clear</w:t>
            </w:r>
            <w:r w:rsidR="00053FB9">
              <w:rPr>
                <w:rFonts w:asciiTheme="minorHAnsi" w:hAnsiTheme="minorHAnsi"/>
                <w:sz w:val="20"/>
                <w:lang w:val="en-GB" w:eastAsia="en-US"/>
              </w:rPr>
              <w:t xml:space="preserve"> </w:t>
            </w:r>
            <w:r w:rsidRPr="00DF3C2D">
              <w:rPr>
                <w:rFonts w:asciiTheme="minorHAnsi" w:hAnsiTheme="minorHAnsi"/>
                <w:sz w:val="20"/>
                <w:lang w:val="en-GB" w:eastAsia="en-US"/>
              </w:rPr>
              <w:t>decision-making</w:t>
            </w:r>
            <w:r w:rsidR="00053FB9">
              <w:rPr>
                <w:rFonts w:asciiTheme="minorHAnsi" w:hAnsiTheme="minorHAnsi"/>
                <w:sz w:val="20"/>
                <w:lang w:val="en-GB" w:eastAsia="en-US"/>
              </w:rPr>
              <w:t xml:space="preserve"> </w:t>
            </w:r>
            <w:r w:rsidRPr="00DF3C2D">
              <w:rPr>
                <w:rFonts w:asciiTheme="minorHAnsi" w:hAnsiTheme="minorHAnsi"/>
                <w:sz w:val="20"/>
                <w:lang w:val="en-GB" w:eastAsia="en-US"/>
              </w:rPr>
              <w:t>structures</w:t>
            </w:r>
            <w:r w:rsidR="00053FB9">
              <w:rPr>
                <w:rFonts w:asciiTheme="minorHAnsi" w:hAnsiTheme="minorHAnsi"/>
                <w:sz w:val="20"/>
                <w:lang w:val="en-GB" w:eastAsia="en-US"/>
              </w:rPr>
              <w:t xml:space="preserve"> </w:t>
            </w:r>
            <w:r w:rsidRPr="00DF3C2D">
              <w:rPr>
                <w:rFonts w:asciiTheme="minorHAnsi" w:hAnsiTheme="minorHAnsi"/>
                <w:sz w:val="20"/>
                <w:lang w:val="en-GB" w:eastAsia="en-US"/>
              </w:rPr>
              <w:t>exist</w:t>
            </w:r>
            <w:r w:rsidR="00053FB9">
              <w:rPr>
                <w:rFonts w:asciiTheme="minorHAnsi" w:hAnsiTheme="minorHAnsi"/>
                <w:sz w:val="20"/>
                <w:lang w:val="en-GB" w:eastAsia="en-US"/>
              </w:rPr>
              <w:t xml:space="preserve"> </w:t>
            </w:r>
            <w:r w:rsidRPr="00DF3C2D">
              <w:rPr>
                <w:rFonts w:asciiTheme="minorHAnsi" w:hAnsiTheme="minorHAnsi"/>
                <w:sz w:val="20"/>
                <w:lang w:val="en-GB" w:eastAsia="en-US"/>
              </w:rPr>
              <w:t>for</w:t>
            </w:r>
            <w:r w:rsidR="00053FB9">
              <w:rPr>
                <w:rFonts w:asciiTheme="minorHAnsi" w:hAnsiTheme="minorHAnsi"/>
                <w:sz w:val="20"/>
                <w:lang w:val="en-GB" w:eastAsia="en-US"/>
              </w:rPr>
              <w:t xml:space="preserve"> </w:t>
            </w:r>
            <w:r w:rsidRPr="00DF3C2D">
              <w:rPr>
                <w:rFonts w:asciiTheme="minorHAnsi" w:hAnsiTheme="minorHAnsi"/>
                <w:sz w:val="20"/>
                <w:lang w:val="en-GB" w:eastAsia="en-US"/>
              </w:rPr>
              <w:t>seeking</w:t>
            </w:r>
            <w:r w:rsidR="00053FB9">
              <w:rPr>
                <w:rFonts w:asciiTheme="minorHAnsi" w:hAnsiTheme="minorHAnsi"/>
                <w:sz w:val="20"/>
                <w:lang w:val="en-GB" w:eastAsia="en-US"/>
              </w:rPr>
              <w:t xml:space="preserve"> </w:t>
            </w:r>
            <w:r w:rsidRPr="00DF3C2D">
              <w:rPr>
                <w:rFonts w:asciiTheme="minorHAnsi" w:hAnsiTheme="minorHAnsi"/>
                <w:sz w:val="20"/>
                <w:lang w:val="en-GB" w:eastAsia="en-US"/>
              </w:rPr>
              <w:t>and</w:t>
            </w:r>
            <w:r w:rsidR="00053FB9">
              <w:rPr>
                <w:rFonts w:asciiTheme="minorHAnsi" w:hAnsiTheme="minorHAnsi"/>
                <w:sz w:val="20"/>
                <w:lang w:val="en-GB" w:eastAsia="en-US"/>
              </w:rPr>
              <w:t xml:space="preserve"> </w:t>
            </w:r>
            <w:r w:rsidRPr="00DF3C2D">
              <w:rPr>
                <w:rFonts w:asciiTheme="minorHAnsi" w:hAnsiTheme="minorHAnsi"/>
                <w:sz w:val="20"/>
                <w:lang w:val="en-GB" w:eastAsia="en-US"/>
              </w:rPr>
              <w:t>receiving</w:t>
            </w:r>
            <w:r w:rsidR="00053FB9">
              <w:rPr>
                <w:rFonts w:asciiTheme="minorHAnsi" w:hAnsiTheme="minorHAnsi"/>
                <w:sz w:val="20"/>
                <w:lang w:val="en-GB" w:eastAsia="en-US"/>
              </w:rPr>
              <w:t xml:space="preserve"> </w:t>
            </w:r>
            <w:r w:rsidRPr="00DF3C2D">
              <w:rPr>
                <w:rFonts w:asciiTheme="minorHAnsi" w:hAnsiTheme="minorHAnsi"/>
                <w:sz w:val="20"/>
                <w:lang w:val="en-GB" w:eastAsia="en-US"/>
              </w:rPr>
              <w:t>funds</w:t>
            </w:r>
            <w:r w:rsidR="00053FB9">
              <w:rPr>
                <w:rFonts w:asciiTheme="minorHAnsi" w:hAnsiTheme="minorHAnsi"/>
                <w:sz w:val="20"/>
                <w:lang w:val="en-GB" w:eastAsia="en-US"/>
              </w:rPr>
              <w:t xml:space="preserve"> </w:t>
            </w:r>
            <w:r w:rsidRPr="00DF3C2D">
              <w:rPr>
                <w:rFonts w:asciiTheme="minorHAnsi" w:hAnsiTheme="minorHAnsi"/>
                <w:sz w:val="20"/>
                <w:lang w:val="en-GB" w:eastAsia="en-US"/>
              </w:rPr>
              <w:t>and</w:t>
            </w:r>
            <w:r w:rsidR="00053FB9">
              <w:rPr>
                <w:rFonts w:asciiTheme="minorHAnsi" w:hAnsiTheme="minorHAnsi"/>
                <w:sz w:val="20"/>
                <w:lang w:val="en-GB" w:eastAsia="en-US"/>
              </w:rPr>
              <w:t xml:space="preserve"> </w:t>
            </w:r>
            <w:r w:rsidRPr="00DF3C2D">
              <w:rPr>
                <w:rFonts w:asciiTheme="minorHAnsi" w:hAnsiTheme="minorHAnsi"/>
                <w:sz w:val="20"/>
                <w:lang w:val="en-GB" w:eastAsia="en-US"/>
              </w:rPr>
              <w:t xml:space="preserve">allocation and control of resources. </w:t>
            </w:r>
          </w:p>
          <w:p w:rsidR="00053FB9" w:rsidRDefault="0074496E" w:rsidP="001111DA">
            <w:pPr>
              <w:pStyle w:val="ListParagraph"/>
              <w:numPr>
                <w:ilvl w:val="1"/>
                <w:numId w:val="23"/>
              </w:numPr>
              <w:spacing w:beforeLines="1" w:before="2" w:afterLines="1" w:after="2"/>
              <w:ind w:left="426" w:hanging="426"/>
              <w:jc w:val="left"/>
              <w:rPr>
                <w:rFonts w:asciiTheme="minorHAnsi" w:hAnsiTheme="minorHAnsi"/>
                <w:sz w:val="20"/>
                <w:lang w:val="en-GB" w:eastAsia="en-US"/>
              </w:rPr>
            </w:pPr>
            <w:r w:rsidRPr="00DF3C2D">
              <w:rPr>
                <w:rFonts w:asciiTheme="minorHAnsi" w:hAnsiTheme="minorHAnsi"/>
                <w:sz w:val="20"/>
                <w:lang w:val="en-GB" w:eastAsia="en-US"/>
              </w:rPr>
              <w:t>Financial</w:t>
            </w:r>
            <w:r w:rsidR="00053FB9">
              <w:rPr>
                <w:rFonts w:asciiTheme="minorHAnsi" w:hAnsiTheme="minorHAnsi"/>
                <w:sz w:val="20"/>
                <w:lang w:val="en-GB" w:eastAsia="en-US"/>
              </w:rPr>
              <w:t xml:space="preserve"> </w:t>
            </w:r>
            <w:r w:rsidRPr="00DF3C2D">
              <w:rPr>
                <w:rFonts w:asciiTheme="minorHAnsi" w:hAnsiTheme="minorHAnsi"/>
                <w:sz w:val="20"/>
                <w:lang w:val="en-GB" w:eastAsia="en-US"/>
              </w:rPr>
              <w:t>aid</w:t>
            </w:r>
            <w:r w:rsidR="00053FB9">
              <w:rPr>
                <w:rFonts w:asciiTheme="minorHAnsi" w:hAnsiTheme="minorHAnsi"/>
                <w:sz w:val="20"/>
                <w:lang w:val="en-GB" w:eastAsia="en-US"/>
              </w:rPr>
              <w:t xml:space="preserve"> </w:t>
            </w:r>
            <w:r w:rsidRPr="00DF3C2D">
              <w:rPr>
                <w:rFonts w:asciiTheme="minorHAnsi" w:hAnsiTheme="minorHAnsi"/>
                <w:sz w:val="20"/>
                <w:lang w:val="en-GB" w:eastAsia="en-US"/>
              </w:rPr>
              <w:t>and</w:t>
            </w:r>
            <w:r w:rsidR="00053FB9">
              <w:rPr>
                <w:rFonts w:asciiTheme="minorHAnsi" w:hAnsiTheme="minorHAnsi"/>
                <w:sz w:val="20"/>
                <w:lang w:val="en-GB" w:eastAsia="en-US"/>
              </w:rPr>
              <w:t xml:space="preserve"> </w:t>
            </w:r>
            <w:r w:rsidRPr="00DF3C2D">
              <w:rPr>
                <w:rFonts w:asciiTheme="minorHAnsi" w:hAnsiTheme="minorHAnsi"/>
                <w:sz w:val="20"/>
                <w:lang w:val="en-GB" w:eastAsia="en-US"/>
              </w:rPr>
              <w:t>information</w:t>
            </w:r>
            <w:r w:rsidR="00053FB9">
              <w:rPr>
                <w:rFonts w:asciiTheme="minorHAnsi" w:hAnsiTheme="minorHAnsi"/>
                <w:sz w:val="20"/>
                <w:lang w:val="en-GB" w:eastAsia="en-US"/>
              </w:rPr>
              <w:t xml:space="preserve"> </w:t>
            </w:r>
            <w:r w:rsidRPr="00DF3C2D">
              <w:rPr>
                <w:rFonts w:asciiTheme="minorHAnsi" w:hAnsiTheme="minorHAnsi"/>
                <w:sz w:val="20"/>
                <w:lang w:val="en-GB" w:eastAsia="en-US"/>
              </w:rPr>
              <w:t>about</w:t>
            </w:r>
            <w:r w:rsidR="00053FB9">
              <w:rPr>
                <w:rFonts w:asciiTheme="minorHAnsi" w:hAnsiTheme="minorHAnsi"/>
                <w:sz w:val="20"/>
                <w:lang w:val="en-GB" w:eastAsia="en-US"/>
              </w:rPr>
              <w:t xml:space="preserve"> </w:t>
            </w:r>
            <w:r w:rsidRPr="00DF3C2D">
              <w:rPr>
                <w:rFonts w:asciiTheme="minorHAnsi" w:hAnsiTheme="minorHAnsi"/>
                <w:sz w:val="20"/>
                <w:lang w:val="en-GB" w:eastAsia="en-US"/>
              </w:rPr>
              <w:t>criteria</w:t>
            </w:r>
            <w:r w:rsidR="00053FB9">
              <w:rPr>
                <w:rFonts w:asciiTheme="minorHAnsi" w:hAnsiTheme="minorHAnsi"/>
                <w:sz w:val="20"/>
                <w:lang w:val="en-GB" w:eastAsia="en-US"/>
              </w:rPr>
              <w:t xml:space="preserve"> </w:t>
            </w:r>
            <w:r w:rsidRPr="00DF3C2D">
              <w:rPr>
                <w:rFonts w:asciiTheme="minorHAnsi" w:hAnsiTheme="minorHAnsi"/>
                <w:sz w:val="20"/>
                <w:lang w:val="en-GB" w:eastAsia="en-US"/>
              </w:rPr>
              <w:t>for</w:t>
            </w:r>
            <w:r w:rsidR="00053FB9">
              <w:rPr>
                <w:rFonts w:asciiTheme="minorHAnsi" w:hAnsiTheme="minorHAnsi"/>
                <w:sz w:val="20"/>
                <w:lang w:val="en-GB" w:eastAsia="en-US"/>
              </w:rPr>
              <w:t xml:space="preserve"> </w:t>
            </w:r>
            <w:r w:rsidRPr="00DF3C2D">
              <w:rPr>
                <w:rFonts w:asciiTheme="minorHAnsi" w:hAnsiTheme="minorHAnsi"/>
                <w:sz w:val="20"/>
                <w:lang w:val="en-GB" w:eastAsia="en-US"/>
              </w:rPr>
              <w:t>its</w:t>
            </w:r>
            <w:r w:rsidR="00053FB9">
              <w:rPr>
                <w:rFonts w:asciiTheme="minorHAnsi" w:hAnsiTheme="minorHAnsi"/>
                <w:sz w:val="20"/>
                <w:lang w:val="en-GB" w:eastAsia="en-US"/>
              </w:rPr>
              <w:t xml:space="preserve"> </w:t>
            </w:r>
            <w:r w:rsidRPr="00DF3C2D">
              <w:rPr>
                <w:rFonts w:asciiTheme="minorHAnsi" w:hAnsiTheme="minorHAnsi"/>
                <w:sz w:val="20"/>
                <w:lang w:val="en-GB" w:eastAsia="en-US"/>
              </w:rPr>
              <w:t>allocation</w:t>
            </w:r>
            <w:r w:rsidR="00053FB9">
              <w:rPr>
                <w:rFonts w:asciiTheme="minorHAnsi" w:hAnsiTheme="minorHAnsi"/>
                <w:sz w:val="20"/>
                <w:lang w:val="en-GB" w:eastAsia="en-US"/>
              </w:rPr>
              <w:t xml:space="preserve"> </w:t>
            </w:r>
            <w:r w:rsidRPr="00DF3C2D">
              <w:rPr>
                <w:rFonts w:asciiTheme="minorHAnsi" w:hAnsiTheme="minorHAnsi"/>
                <w:sz w:val="20"/>
                <w:lang w:val="en-GB" w:eastAsia="en-US"/>
              </w:rPr>
              <w:t>are</w:t>
            </w:r>
            <w:r w:rsidR="00053FB9">
              <w:rPr>
                <w:rFonts w:asciiTheme="minorHAnsi" w:hAnsiTheme="minorHAnsi"/>
                <w:sz w:val="20"/>
                <w:lang w:val="en-GB" w:eastAsia="en-US"/>
              </w:rPr>
              <w:t xml:space="preserve"> </w:t>
            </w:r>
            <w:r w:rsidRPr="00DF3C2D">
              <w:rPr>
                <w:rFonts w:asciiTheme="minorHAnsi" w:hAnsiTheme="minorHAnsi"/>
                <w:sz w:val="20"/>
                <w:lang w:val="en-GB" w:eastAsia="en-US"/>
              </w:rPr>
              <w:t>provided</w:t>
            </w:r>
            <w:r w:rsidR="00053FB9">
              <w:rPr>
                <w:rFonts w:asciiTheme="minorHAnsi" w:hAnsiTheme="minorHAnsi"/>
                <w:sz w:val="20"/>
                <w:lang w:val="en-GB" w:eastAsia="en-US"/>
              </w:rPr>
              <w:t xml:space="preserve"> </w:t>
            </w:r>
            <w:r w:rsidRPr="00DF3C2D">
              <w:rPr>
                <w:rFonts w:asciiTheme="minorHAnsi" w:hAnsiTheme="minorHAnsi"/>
                <w:sz w:val="20"/>
                <w:lang w:val="en-GB" w:eastAsia="en-US"/>
              </w:rPr>
              <w:t>for</w:t>
            </w:r>
            <w:r w:rsidR="00053FB9">
              <w:rPr>
                <w:rFonts w:asciiTheme="minorHAnsi" w:hAnsiTheme="minorHAnsi"/>
                <w:sz w:val="20"/>
                <w:lang w:val="en-GB" w:eastAsia="en-US"/>
              </w:rPr>
              <w:t xml:space="preserve"> </w:t>
            </w:r>
            <w:r w:rsidRPr="00DF3C2D">
              <w:rPr>
                <w:rFonts w:asciiTheme="minorHAnsi" w:hAnsiTheme="minorHAnsi"/>
                <w:sz w:val="20"/>
                <w:lang w:val="en-GB" w:eastAsia="en-US"/>
              </w:rPr>
              <w:t xml:space="preserve">learners, external funding and donations permitting. </w:t>
            </w:r>
          </w:p>
          <w:p w:rsidR="0074496E" w:rsidRPr="004F4802" w:rsidRDefault="0074496E" w:rsidP="001111DA">
            <w:pPr>
              <w:pStyle w:val="ListParagraph"/>
              <w:numPr>
                <w:ilvl w:val="1"/>
                <w:numId w:val="23"/>
              </w:numPr>
              <w:spacing w:beforeLines="1" w:before="2" w:afterLines="50" w:after="120"/>
              <w:ind w:left="425" w:hanging="425"/>
              <w:rPr>
                <w:rFonts w:asciiTheme="minorHAnsi" w:hAnsiTheme="minorHAnsi"/>
                <w:sz w:val="20"/>
                <w:lang w:val="en-GB" w:eastAsia="en-US"/>
              </w:rPr>
            </w:pPr>
            <w:r w:rsidRPr="00DF3C2D">
              <w:rPr>
                <w:rFonts w:asciiTheme="minorHAnsi" w:hAnsiTheme="minorHAnsi"/>
                <w:sz w:val="20"/>
                <w:lang w:val="en-GB" w:eastAsia="en-US"/>
              </w:rPr>
              <w:t xml:space="preserve">Information about financial aid is clear to all learners. </w:t>
            </w:r>
          </w:p>
        </w:tc>
      </w:tr>
    </w:tbl>
    <w:p w:rsidR="00937CEA" w:rsidRDefault="00937CEA" w:rsidP="00937CEA"/>
    <w:p w:rsidR="001D7BCB" w:rsidRDefault="00937CEA" w:rsidP="00937CEA">
      <w:pPr>
        <w:pStyle w:val="Heading1"/>
        <w:spacing w:before="360" w:after="240"/>
      </w:pPr>
      <w:r>
        <w:br w:type="page"/>
      </w:r>
      <w:r w:rsidR="001D7BCB">
        <w:lastRenderedPageBreak/>
        <w:t>Roles and Responsibilities</w:t>
      </w:r>
    </w:p>
    <w:p w:rsidR="001D7BCB" w:rsidRDefault="001D7BCB" w:rsidP="001D7BCB">
      <w:pPr>
        <w:spacing w:after="0"/>
      </w:pPr>
      <w:r>
        <w:t xml:space="preserve">The table below gives an overview of key activities and responsibilities linked to the design, development and delivery of the main components of the HCE. </w:t>
      </w:r>
    </w:p>
    <w:p w:rsidR="001D7BCB" w:rsidRDefault="001D7BCB" w:rsidP="001D7BCB">
      <w:pPr>
        <w:spacing w:after="0"/>
      </w:pPr>
    </w:p>
    <w:tbl>
      <w:tblPr>
        <w:tblStyle w:val="TableGrid"/>
        <w:tblW w:w="0" w:type="auto"/>
        <w:tblLook w:val="00A0" w:firstRow="1" w:lastRow="0" w:firstColumn="1" w:lastColumn="0" w:noHBand="0" w:noVBand="0"/>
      </w:tblPr>
      <w:tblGrid>
        <w:gridCol w:w="3369"/>
        <w:gridCol w:w="3150"/>
        <w:gridCol w:w="2723"/>
      </w:tblGrid>
      <w:tr w:rsidR="001D7BCB">
        <w:trPr>
          <w:tblHeader/>
        </w:trPr>
        <w:tc>
          <w:tcPr>
            <w:tcW w:w="3369" w:type="dxa"/>
            <w:shd w:val="pct10" w:color="auto" w:fill="auto"/>
          </w:tcPr>
          <w:p w:rsidR="001D7BCB" w:rsidRPr="0066013A" w:rsidRDefault="001D7BCB" w:rsidP="001D7BCB">
            <w:pPr>
              <w:spacing w:before="120" w:after="120"/>
              <w:jc w:val="center"/>
              <w:rPr>
                <w:rFonts w:asciiTheme="minorHAnsi" w:hAnsiTheme="minorHAnsi"/>
                <w:b/>
                <w:sz w:val="20"/>
              </w:rPr>
            </w:pPr>
            <w:r w:rsidRPr="0066013A">
              <w:rPr>
                <w:rFonts w:asciiTheme="minorHAnsi" w:hAnsiTheme="minorHAnsi"/>
                <w:b/>
                <w:sz w:val="20"/>
              </w:rPr>
              <w:t>Programme components</w:t>
            </w:r>
          </w:p>
        </w:tc>
        <w:tc>
          <w:tcPr>
            <w:tcW w:w="3150" w:type="dxa"/>
            <w:shd w:val="pct10" w:color="auto" w:fill="auto"/>
          </w:tcPr>
          <w:p w:rsidR="001D7BCB" w:rsidRPr="0066013A" w:rsidRDefault="001D7BCB" w:rsidP="001D7BCB">
            <w:pPr>
              <w:spacing w:before="120" w:after="120"/>
              <w:jc w:val="center"/>
              <w:rPr>
                <w:rFonts w:asciiTheme="minorHAnsi" w:hAnsiTheme="minorHAnsi"/>
                <w:b/>
                <w:sz w:val="20"/>
              </w:rPr>
            </w:pPr>
            <w:r w:rsidRPr="0066013A">
              <w:rPr>
                <w:rFonts w:asciiTheme="minorHAnsi" w:hAnsiTheme="minorHAnsi"/>
                <w:b/>
                <w:sz w:val="20"/>
              </w:rPr>
              <w:t>DKSS (NBA) responsibility</w:t>
            </w:r>
          </w:p>
        </w:tc>
        <w:tc>
          <w:tcPr>
            <w:tcW w:w="0" w:type="auto"/>
            <w:shd w:val="pct10" w:color="auto" w:fill="auto"/>
          </w:tcPr>
          <w:p w:rsidR="001D7BCB" w:rsidRPr="0066013A" w:rsidRDefault="001D7BCB" w:rsidP="001D7BCB">
            <w:pPr>
              <w:spacing w:before="120" w:after="120"/>
              <w:jc w:val="center"/>
              <w:rPr>
                <w:rFonts w:asciiTheme="minorHAnsi" w:hAnsiTheme="minorHAnsi"/>
                <w:b/>
                <w:sz w:val="20"/>
              </w:rPr>
            </w:pPr>
            <w:r w:rsidRPr="0066013A">
              <w:rPr>
                <w:rFonts w:asciiTheme="minorHAnsi" w:hAnsiTheme="minorHAnsi"/>
                <w:b/>
                <w:sz w:val="20"/>
              </w:rPr>
              <w:t>NID responsibility</w:t>
            </w:r>
          </w:p>
        </w:tc>
      </w:tr>
      <w:tr w:rsidR="001D7BCB" w:rsidRPr="00441171">
        <w:tc>
          <w:tcPr>
            <w:tcW w:w="3369" w:type="dxa"/>
          </w:tcPr>
          <w:p w:rsidR="001D7BCB" w:rsidRPr="0066013A" w:rsidRDefault="001D7BCB" w:rsidP="001D7BCB">
            <w:pPr>
              <w:pStyle w:val="ListParagraph"/>
              <w:numPr>
                <w:ilvl w:val="0"/>
                <w:numId w:val="37"/>
              </w:numPr>
              <w:jc w:val="left"/>
              <w:rPr>
                <w:rFonts w:asciiTheme="minorHAnsi" w:hAnsiTheme="minorHAnsi"/>
                <w:sz w:val="20"/>
              </w:rPr>
            </w:pPr>
            <w:r w:rsidRPr="0066013A">
              <w:rPr>
                <w:rFonts w:asciiTheme="minorHAnsi" w:hAnsiTheme="minorHAnsi"/>
                <w:sz w:val="20"/>
              </w:rPr>
              <w:t xml:space="preserve">Programme Curriculum Guiding Framework. </w:t>
            </w:r>
          </w:p>
        </w:tc>
        <w:tc>
          <w:tcPr>
            <w:tcW w:w="3150" w:type="dxa"/>
          </w:tcPr>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Plans and facilitates a Programme Curriculum Framework Workshop</w:t>
            </w:r>
          </w:p>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 xml:space="preserve">Prepares a draft Programme Curriculum Guiding Framework. </w:t>
            </w:r>
          </w:p>
          <w:p w:rsidR="001D7BCB" w:rsidRPr="0066013A" w:rsidRDefault="001D7BCB" w:rsidP="00DC3BD9">
            <w:pPr>
              <w:pStyle w:val="ListParagraph"/>
              <w:numPr>
                <w:ilvl w:val="0"/>
                <w:numId w:val="39"/>
              </w:numPr>
              <w:spacing w:after="120"/>
              <w:jc w:val="left"/>
              <w:rPr>
                <w:rFonts w:asciiTheme="minorHAnsi" w:hAnsiTheme="minorHAnsi"/>
                <w:sz w:val="20"/>
                <w:szCs w:val="20"/>
              </w:rPr>
            </w:pPr>
            <w:r w:rsidRPr="0066013A">
              <w:rPr>
                <w:rFonts w:asciiTheme="minorHAnsi" w:hAnsiTheme="minorHAnsi"/>
                <w:sz w:val="20"/>
                <w:szCs w:val="20"/>
              </w:rPr>
              <w:t xml:space="preserve">Integrates feedback and finalizes the Programme Curriculum Guiding Framework.  </w:t>
            </w:r>
          </w:p>
        </w:tc>
        <w:tc>
          <w:tcPr>
            <w:tcW w:w="0" w:type="auto"/>
          </w:tcPr>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NID selects key persons to participate in the Programme Curriculum Framework Workshop.</w:t>
            </w:r>
          </w:p>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 xml:space="preserve">Reviews the Programme Curriculum Guiding Framework and provides feedback.  </w:t>
            </w:r>
          </w:p>
          <w:p w:rsidR="001D7BCB" w:rsidRPr="0066013A" w:rsidRDefault="001D7BCB" w:rsidP="00DC3BD9">
            <w:pPr>
              <w:pStyle w:val="ListParagraph"/>
              <w:numPr>
                <w:ilvl w:val="0"/>
                <w:numId w:val="39"/>
              </w:numPr>
              <w:spacing w:after="120"/>
              <w:jc w:val="left"/>
              <w:rPr>
                <w:rFonts w:asciiTheme="minorHAnsi" w:hAnsiTheme="minorHAnsi"/>
                <w:sz w:val="20"/>
                <w:szCs w:val="20"/>
              </w:rPr>
            </w:pPr>
            <w:r w:rsidRPr="0066013A">
              <w:rPr>
                <w:rFonts w:asciiTheme="minorHAnsi" w:hAnsiTheme="minorHAnsi"/>
                <w:sz w:val="20"/>
                <w:szCs w:val="20"/>
              </w:rPr>
              <w:t xml:space="preserve">Provides a venue for the Workshop. </w:t>
            </w:r>
          </w:p>
        </w:tc>
      </w:tr>
      <w:tr w:rsidR="001D7BCB" w:rsidRPr="00441171">
        <w:tc>
          <w:tcPr>
            <w:tcW w:w="3369" w:type="dxa"/>
          </w:tcPr>
          <w:p w:rsidR="001D7BCB" w:rsidRPr="0066013A" w:rsidRDefault="001D7BCB" w:rsidP="001D7BCB">
            <w:pPr>
              <w:pStyle w:val="ListParagraph"/>
              <w:numPr>
                <w:ilvl w:val="0"/>
                <w:numId w:val="37"/>
              </w:numPr>
              <w:jc w:val="left"/>
              <w:rPr>
                <w:rFonts w:asciiTheme="minorHAnsi" w:hAnsiTheme="minorHAnsi"/>
                <w:sz w:val="20"/>
              </w:rPr>
            </w:pPr>
            <w:r w:rsidRPr="0066013A">
              <w:rPr>
                <w:rFonts w:asciiTheme="minorHAnsi" w:hAnsiTheme="minorHAnsi"/>
                <w:sz w:val="20"/>
              </w:rPr>
              <w:t>Learning Programme.</w:t>
            </w:r>
          </w:p>
        </w:tc>
        <w:tc>
          <w:tcPr>
            <w:tcW w:w="3150" w:type="dxa"/>
          </w:tcPr>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Plans and develops the supported e-</w:t>
            </w:r>
            <w:r w:rsidR="00451CED" w:rsidRPr="0066013A">
              <w:rPr>
                <w:rFonts w:asciiTheme="minorHAnsi" w:hAnsiTheme="minorHAnsi"/>
                <w:sz w:val="20"/>
                <w:szCs w:val="20"/>
              </w:rPr>
              <w:t>learning Learning P</w:t>
            </w:r>
            <w:r w:rsidRPr="0066013A">
              <w:rPr>
                <w:rFonts w:asciiTheme="minorHAnsi" w:hAnsiTheme="minorHAnsi"/>
                <w:sz w:val="20"/>
                <w:szCs w:val="20"/>
              </w:rPr>
              <w:t>athway that comprises:</w:t>
            </w:r>
          </w:p>
          <w:p w:rsidR="001D7BCB" w:rsidRPr="0066013A" w:rsidRDefault="001D7BCB" w:rsidP="001D7BCB">
            <w:pPr>
              <w:pStyle w:val="ListParagraph"/>
              <w:numPr>
                <w:ilvl w:val="0"/>
                <w:numId w:val="40"/>
              </w:numPr>
              <w:jc w:val="left"/>
              <w:rPr>
                <w:rFonts w:asciiTheme="minorHAnsi" w:hAnsiTheme="minorHAnsi"/>
                <w:sz w:val="20"/>
                <w:szCs w:val="20"/>
              </w:rPr>
            </w:pPr>
            <w:r w:rsidRPr="0066013A">
              <w:rPr>
                <w:rFonts w:asciiTheme="minorHAnsi" w:hAnsiTheme="minorHAnsi"/>
                <w:sz w:val="20"/>
                <w:szCs w:val="20"/>
              </w:rPr>
              <w:t>the learning resources package;</w:t>
            </w:r>
          </w:p>
          <w:p w:rsidR="001D7BCB" w:rsidRPr="0066013A" w:rsidRDefault="001D7BCB" w:rsidP="001D7BCB">
            <w:pPr>
              <w:pStyle w:val="ListParagraph"/>
              <w:numPr>
                <w:ilvl w:val="0"/>
                <w:numId w:val="40"/>
              </w:numPr>
              <w:jc w:val="left"/>
              <w:rPr>
                <w:rFonts w:asciiTheme="minorHAnsi" w:hAnsiTheme="minorHAnsi"/>
                <w:sz w:val="20"/>
                <w:szCs w:val="20"/>
              </w:rPr>
            </w:pPr>
            <w:r w:rsidRPr="0066013A">
              <w:rPr>
                <w:rFonts w:asciiTheme="minorHAnsi" w:hAnsiTheme="minorHAnsi"/>
                <w:sz w:val="20"/>
                <w:szCs w:val="20"/>
              </w:rPr>
              <w:t>the learning activities linked to the resources;</w:t>
            </w:r>
          </w:p>
          <w:p w:rsidR="001D7BCB" w:rsidRPr="0066013A" w:rsidRDefault="001D7BCB" w:rsidP="001D7BCB">
            <w:pPr>
              <w:pStyle w:val="ListParagraph"/>
              <w:numPr>
                <w:ilvl w:val="0"/>
                <w:numId w:val="40"/>
              </w:numPr>
              <w:jc w:val="left"/>
              <w:rPr>
                <w:rFonts w:asciiTheme="minorHAnsi" w:hAnsiTheme="minorHAnsi"/>
                <w:sz w:val="20"/>
                <w:szCs w:val="20"/>
              </w:rPr>
            </w:pPr>
            <w:r w:rsidRPr="0066013A">
              <w:rPr>
                <w:rFonts w:asciiTheme="minorHAnsi" w:hAnsiTheme="minorHAnsi"/>
                <w:sz w:val="20"/>
                <w:szCs w:val="20"/>
              </w:rPr>
              <w:t xml:space="preserve">the assessment activities and instruments. </w:t>
            </w:r>
          </w:p>
          <w:p w:rsidR="001D7BCB" w:rsidRPr="0066013A" w:rsidRDefault="001D7BCB" w:rsidP="003350EC">
            <w:pPr>
              <w:pStyle w:val="ListParagraph"/>
              <w:numPr>
                <w:ilvl w:val="0"/>
                <w:numId w:val="39"/>
              </w:numPr>
              <w:spacing w:before="120" w:after="120"/>
              <w:jc w:val="left"/>
              <w:rPr>
                <w:rFonts w:asciiTheme="minorHAnsi" w:hAnsiTheme="minorHAnsi"/>
                <w:sz w:val="20"/>
                <w:szCs w:val="20"/>
              </w:rPr>
            </w:pPr>
            <w:r w:rsidRPr="0066013A">
              <w:rPr>
                <w:rFonts w:asciiTheme="minorHAnsi" w:hAnsiTheme="minorHAnsi"/>
                <w:sz w:val="20"/>
                <w:szCs w:val="20"/>
              </w:rPr>
              <w:t>Develops appropriate module guidelines for programme facilitators.</w:t>
            </w:r>
          </w:p>
        </w:tc>
        <w:tc>
          <w:tcPr>
            <w:tcW w:w="0" w:type="auto"/>
          </w:tcPr>
          <w:p w:rsidR="00DC3BD9" w:rsidRDefault="001D7BCB" w:rsidP="003350EC">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 xml:space="preserve">Selected NID persons provide advice and input as and where necessary. </w:t>
            </w:r>
          </w:p>
          <w:p w:rsidR="003350EC" w:rsidRDefault="003350EC" w:rsidP="003350EC">
            <w:pPr>
              <w:rPr>
                <w:sz w:val="20"/>
                <w:szCs w:val="20"/>
              </w:rPr>
            </w:pPr>
          </w:p>
          <w:p w:rsidR="003350EC" w:rsidRDefault="003350EC" w:rsidP="003350EC">
            <w:pPr>
              <w:rPr>
                <w:sz w:val="20"/>
                <w:szCs w:val="20"/>
              </w:rPr>
            </w:pPr>
          </w:p>
          <w:p w:rsidR="003350EC" w:rsidRDefault="003350EC" w:rsidP="003350EC">
            <w:pPr>
              <w:rPr>
                <w:sz w:val="20"/>
                <w:szCs w:val="20"/>
              </w:rPr>
            </w:pPr>
          </w:p>
          <w:p w:rsidR="003350EC" w:rsidRDefault="003350EC" w:rsidP="003350EC">
            <w:pPr>
              <w:rPr>
                <w:sz w:val="20"/>
                <w:szCs w:val="20"/>
              </w:rPr>
            </w:pPr>
          </w:p>
          <w:p w:rsidR="003350EC" w:rsidRDefault="003350EC" w:rsidP="003350EC">
            <w:pPr>
              <w:rPr>
                <w:sz w:val="20"/>
                <w:szCs w:val="20"/>
              </w:rPr>
            </w:pPr>
          </w:p>
          <w:p w:rsidR="003350EC" w:rsidRDefault="003350EC" w:rsidP="003350EC">
            <w:pPr>
              <w:rPr>
                <w:sz w:val="20"/>
                <w:szCs w:val="20"/>
              </w:rPr>
            </w:pPr>
          </w:p>
          <w:p w:rsidR="003350EC" w:rsidRDefault="003350EC" w:rsidP="003350EC">
            <w:pPr>
              <w:rPr>
                <w:sz w:val="20"/>
                <w:szCs w:val="20"/>
              </w:rPr>
            </w:pPr>
          </w:p>
          <w:p w:rsidR="003350EC" w:rsidRDefault="003350EC" w:rsidP="003350EC">
            <w:pPr>
              <w:rPr>
                <w:sz w:val="20"/>
                <w:szCs w:val="20"/>
              </w:rPr>
            </w:pPr>
          </w:p>
          <w:p w:rsidR="003350EC" w:rsidRDefault="003350EC" w:rsidP="003350EC">
            <w:pPr>
              <w:rPr>
                <w:sz w:val="20"/>
                <w:szCs w:val="20"/>
              </w:rPr>
            </w:pPr>
          </w:p>
          <w:p w:rsidR="001D7BCB" w:rsidRPr="00DC3BD9" w:rsidRDefault="001D7BCB" w:rsidP="003350EC">
            <w:pPr>
              <w:rPr>
                <w:sz w:val="20"/>
                <w:szCs w:val="20"/>
              </w:rPr>
            </w:pPr>
          </w:p>
        </w:tc>
      </w:tr>
      <w:tr w:rsidR="001D7BCB" w:rsidRPr="00441171">
        <w:tc>
          <w:tcPr>
            <w:tcW w:w="3369" w:type="dxa"/>
          </w:tcPr>
          <w:p w:rsidR="001D7BCB" w:rsidRPr="0066013A" w:rsidRDefault="001D7BCB" w:rsidP="001D7BCB">
            <w:pPr>
              <w:pStyle w:val="ListParagraph"/>
              <w:numPr>
                <w:ilvl w:val="0"/>
                <w:numId w:val="37"/>
              </w:numPr>
              <w:jc w:val="left"/>
              <w:rPr>
                <w:rFonts w:asciiTheme="minorHAnsi" w:hAnsiTheme="minorHAnsi"/>
                <w:sz w:val="20"/>
              </w:rPr>
            </w:pPr>
            <w:r w:rsidRPr="0066013A">
              <w:rPr>
                <w:rFonts w:asciiTheme="minorHAnsi" w:hAnsiTheme="minorHAnsi"/>
                <w:sz w:val="20"/>
              </w:rPr>
              <w:t>Programme delivery:</w:t>
            </w:r>
          </w:p>
          <w:p w:rsidR="001D7BCB" w:rsidRPr="0066013A" w:rsidRDefault="001D7BCB" w:rsidP="001D7BCB">
            <w:pPr>
              <w:pStyle w:val="ListParagraph"/>
              <w:ind w:left="360"/>
              <w:jc w:val="left"/>
              <w:rPr>
                <w:rFonts w:asciiTheme="minorHAnsi" w:hAnsiTheme="minorHAnsi"/>
                <w:sz w:val="20"/>
              </w:rPr>
            </w:pPr>
            <w:r w:rsidRPr="0066013A">
              <w:rPr>
                <w:rFonts w:asciiTheme="minorHAnsi" w:hAnsiTheme="minorHAnsi"/>
                <w:sz w:val="20"/>
              </w:rPr>
              <w:t xml:space="preserve">Decentralized student support system. </w:t>
            </w:r>
          </w:p>
          <w:p w:rsidR="001D7BCB" w:rsidRPr="0066013A" w:rsidRDefault="001D7BCB" w:rsidP="001D7BCB">
            <w:pPr>
              <w:pStyle w:val="ListParagraph"/>
              <w:ind w:left="360"/>
              <w:jc w:val="left"/>
              <w:rPr>
                <w:rFonts w:asciiTheme="minorHAnsi" w:hAnsiTheme="minorHAnsi"/>
                <w:sz w:val="20"/>
              </w:rPr>
            </w:pPr>
          </w:p>
          <w:p w:rsidR="001D7BCB" w:rsidRPr="0066013A" w:rsidRDefault="001D7BCB" w:rsidP="001D7BCB">
            <w:pPr>
              <w:pStyle w:val="ListParagraph"/>
              <w:ind w:left="360"/>
              <w:jc w:val="left"/>
              <w:rPr>
                <w:rFonts w:asciiTheme="minorHAnsi" w:hAnsiTheme="minorHAnsi"/>
                <w:sz w:val="20"/>
              </w:rPr>
            </w:pPr>
            <w:r w:rsidRPr="0066013A">
              <w:rPr>
                <w:rFonts w:asciiTheme="minorHAnsi" w:hAnsiTheme="minorHAnsi"/>
                <w:sz w:val="20"/>
              </w:rPr>
              <w:t>It is recommended that NID employs a phase</w:t>
            </w:r>
            <w:r w:rsidR="003350EC">
              <w:rPr>
                <w:rFonts w:asciiTheme="minorHAnsi" w:hAnsiTheme="minorHAnsi"/>
                <w:sz w:val="20"/>
              </w:rPr>
              <w:t>d approach to offering the P</w:t>
            </w:r>
            <w:r w:rsidRPr="0066013A">
              <w:rPr>
                <w:rFonts w:asciiTheme="minorHAnsi" w:hAnsiTheme="minorHAnsi"/>
                <w:sz w:val="20"/>
              </w:rPr>
              <w:t xml:space="preserve">rogramme starting with a small group of up to 30 students supported from the NID campus; then expands to up to 4 decentralised sites; and only then explores partnerships with other provides in order to scale to national provision. </w:t>
            </w:r>
          </w:p>
          <w:p w:rsidR="001D7BCB" w:rsidRPr="0066013A" w:rsidRDefault="001D7BCB" w:rsidP="001D7BCB">
            <w:pPr>
              <w:pStyle w:val="ListParagraph"/>
              <w:numPr>
                <w:ilvl w:val="0"/>
                <w:numId w:val="38"/>
              </w:numPr>
              <w:ind w:left="720"/>
              <w:jc w:val="left"/>
              <w:rPr>
                <w:rFonts w:asciiTheme="minorHAnsi" w:hAnsiTheme="minorHAnsi"/>
                <w:sz w:val="20"/>
              </w:rPr>
            </w:pPr>
            <w:r w:rsidRPr="0066013A">
              <w:rPr>
                <w:rFonts w:asciiTheme="minorHAnsi" w:hAnsiTheme="minorHAnsi"/>
                <w:sz w:val="20"/>
              </w:rPr>
              <w:t>NID will need to engage with the DHET to exten</w:t>
            </w:r>
            <w:r w:rsidR="003350EC">
              <w:rPr>
                <w:rFonts w:asciiTheme="minorHAnsi" w:hAnsiTheme="minorHAnsi"/>
                <w:sz w:val="20"/>
              </w:rPr>
              <w:t xml:space="preserve">d its provision status from TVET </w:t>
            </w:r>
            <w:r w:rsidRPr="0066013A">
              <w:rPr>
                <w:rFonts w:asciiTheme="minorHAnsi" w:hAnsiTheme="minorHAnsi"/>
                <w:sz w:val="20"/>
              </w:rPr>
              <w:t>to include initial Higher Education in line with the recent White Paper on post-school education and training.</w:t>
            </w:r>
          </w:p>
          <w:p w:rsidR="001D7BCB" w:rsidRPr="0066013A" w:rsidRDefault="001D7BCB" w:rsidP="001D7BCB">
            <w:pPr>
              <w:pStyle w:val="ListParagraph"/>
              <w:numPr>
                <w:ilvl w:val="0"/>
                <w:numId w:val="38"/>
              </w:numPr>
              <w:ind w:left="720"/>
              <w:jc w:val="left"/>
              <w:rPr>
                <w:rFonts w:asciiTheme="minorHAnsi" w:hAnsiTheme="minorHAnsi"/>
                <w:sz w:val="20"/>
              </w:rPr>
            </w:pPr>
            <w:r w:rsidRPr="0066013A">
              <w:rPr>
                <w:rFonts w:asciiTheme="minorHAnsi" w:hAnsiTheme="minorHAnsi"/>
                <w:sz w:val="20"/>
              </w:rPr>
              <w:t xml:space="preserve">NID would then be responsible for applying to </w:t>
            </w:r>
            <w:r w:rsidRPr="0066013A">
              <w:rPr>
                <w:rFonts w:asciiTheme="minorHAnsi" w:hAnsiTheme="minorHAnsi"/>
                <w:sz w:val="20"/>
              </w:rPr>
              <w:lastRenderedPageBreak/>
              <w:t>the CHE for accreditation of the HCE programme.</w:t>
            </w:r>
          </w:p>
          <w:p w:rsidR="001D7BCB" w:rsidRPr="00DC3BD9" w:rsidRDefault="001D7BCB" w:rsidP="00DC3BD9">
            <w:pPr>
              <w:pStyle w:val="ListParagraph"/>
              <w:numPr>
                <w:ilvl w:val="0"/>
                <w:numId w:val="38"/>
              </w:numPr>
              <w:spacing w:before="120"/>
              <w:ind w:left="714" w:hanging="357"/>
              <w:jc w:val="left"/>
              <w:rPr>
                <w:rFonts w:asciiTheme="minorHAnsi" w:hAnsiTheme="minorHAnsi"/>
                <w:sz w:val="20"/>
              </w:rPr>
            </w:pPr>
            <w:r w:rsidRPr="0066013A">
              <w:rPr>
                <w:rFonts w:asciiTheme="minorHAnsi" w:hAnsiTheme="minorHAnsi"/>
                <w:sz w:val="20"/>
              </w:rPr>
              <w:t>NID would also be responsible for managing the learning and providing students with relevant support.</w:t>
            </w:r>
          </w:p>
        </w:tc>
        <w:tc>
          <w:tcPr>
            <w:tcW w:w="3150" w:type="dxa"/>
          </w:tcPr>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lastRenderedPageBreak/>
              <w:t xml:space="preserve">NBA provides consultation on the development of a decentralized student support system. </w:t>
            </w:r>
          </w:p>
        </w:tc>
        <w:tc>
          <w:tcPr>
            <w:tcW w:w="0" w:type="auto"/>
          </w:tcPr>
          <w:p w:rsidR="001D7BCB" w:rsidRPr="0066013A" w:rsidRDefault="001D7BCB" w:rsidP="001D7BCB">
            <w:pPr>
              <w:rPr>
                <w:rFonts w:asciiTheme="minorHAnsi" w:hAnsiTheme="minorHAnsi"/>
                <w:sz w:val="20"/>
                <w:szCs w:val="20"/>
              </w:rPr>
            </w:pPr>
            <w:r w:rsidRPr="0066013A">
              <w:rPr>
                <w:rFonts w:asciiTheme="minorHAnsi" w:hAnsiTheme="minorHAnsi"/>
                <w:sz w:val="20"/>
                <w:szCs w:val="20"/>
              </w:rPr>
              <w:t>NID:</w:t>
            </w:r>
          </w:p>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Pursues registration and accreditation in the short term and explores possibilities for partnerships for expanded provision in the medium term.</w:t>
            </w:r>
          </w:p>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 xml:space="preserve">Investigates the partnership process. </w:t>
            </w:r>
          </w:p>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Organises the partnership agreement.</w:t>
            </w:r>
          </w:p>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 xml:space="preserve">Develops a decentralized learner support system. </w:t>
            </w:r>
          </w:p>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 xml:space="preserve">Appoints NID staff to manage the learning programme. </w:t>
            </w:r>
          </w:p>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 xml:space="preserve">Plans and sets up the decentralized student support system. </w:t>
            </w:r>
          </w:p>
          <w:p w:rsidR="003350EC" w:rsidRDefault="001D7BCB" w:rsidP="003350EC">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 xml:space="preserve">Prepares and organizes training for people involved in the decentralized student </w:t>
            </w:r>
            <w:r w:rsidRPr="0066013A">
              <w:rPr>
                <w:rFonts w:asciiTheme="minorHAnsi" w:hAnsiTheme="minorHAnsi"/>
                <w:sz w:val="20"/>
                <w:szCs w:val="20"/>
              </w:rPr>
              <w:lastRenderedPageBreak/>
              <w:t xml:space="preserve">support system. </w:t>
            </w:r>
          </w:p>
          <w:p w:rsidR="003350EC" w:rsidRDefault="003350EC" w:rsidP="003350EC">
            <w:pPr>
              <w:rPr>
                <w:sz w:val="20"/>
                <w:szCs w:val="20"/>
              </w:rPr>
            </w:pPr>
          </w:p>
          <w:p w:rsidR="003350EC" w:rsidRDefault="003350EC" w:rsidP="003350EC">
            <w:pPr>
              <w:rPr>
                <w:sz w:val="20"/>
                <w:szCs w:val="20"/>
              </w:rPr>
            </w:pPr>
          </w:p>
          <w:p w:rsidR="003350EC" w:rsidRDefault="003350EC" w:rsidP="003350EC">
            <w:pPr>
              <w:rPr>
                <w:sz w:val="20"/>
                <w:szCs w:val="20"/>
              </w:rPr>
            </w:pPr>
          </w:p>
          <w:p w:rsidR="003350EC" w:rsidRDefault="003350EC" w:rsidP="003350EC">
            <w:pPr>
              <w:rPr>
                <w:sz w:val="20"/>
                <w:szCs w:val="20"/>
              </w:rPr>
            </w:pPr>
          </w:p>
          <w:p w:rsidR="003350EC" w:rsidRDefault="003350EC" w:rsidP="003350EC">
            <w:pPr>
              <w:rPr>
                <w:sz w:val="20"/>
                <w:szCs w:val="20"/>
              </w:rPr>
            </w:pPr>
          </w:p>
          <w:p w:rsidR="003350EC" w:rsidRDefault="003350EC" w:rsidP="003350EC">
            <w:pPr>
              <w:rPr>
                <w:sz w:val="20"/>
                <w:szCs w:val="20"/>
              </w:rPr>
            </w:pPr>
          </w:p>
          <w:p w:rsidR="001D7BCB" w:rsidRPr="003350EC" w:rsidRDefault="001D7BCB" w:rsidP="003350EC">
            <w:pPr>
              <w:rPr>
                <w:sz w:val="20"/>
                <w:szCs w:val="20"/>
              </w:rPr>
            </w:pPr>
          </w:p>
        </w:tc>
      </w:tr>
      <w:tr w:rsidR="001D7BCB" w:rsidRPr="00441171">
        <w:tc>
          <w:tcPr>
            <w:tcW w:w="3369" w:type="dxa"/>
          </w:tcPr>
          <w:p w:rsidR="001D7BCB" w:rsidRPr="0066013A" w:rsidRDefault="001D7BCB" w:rsidP="001D7BCB">
            <w:pPr>
              <w:pStyle w:val="ListParagraph"/>
              <w:numPr>
                <w:ilvl w:val="0"/>
                <w:numId w:val="37"/>
              </w:numPr>
              <w:jc w:val="left"/>
              <w:rPr>
                <w:rFonts w:asciiTheme="minorHAnsi" w:hAnsiTheme="minorHAnsi"/>
                <w:sz w:val="20"/>
              </w:rPr>
            </w:pPr>
            <w:r w:rsidRPr="0066013A">
              <w:rPr>
                <w:rFonts w:asciiTheme="minorHAnsi" w:hAnsiTheme="minorHAnsi"/>
                <w:sz w:val="20"/>
              </w:rPr>
              <w:lastRenderedPageBreak/>
              <w:t>Programme delivery:</w:t>
            </w:r>
          </w:p>
          <w:p w:rsidR="001D7BCB" w:rsidRPr="0066013A" w:rsidRDefault="001D7BCB" w:rsidP="001D7BCB">
            <w:pPr>
              <w:pStyle w:val="ListParagraph"/>
              <w:ind w:left="360"/>
              <w:jc w:val="left"/>
              <w:rPr>
                <w:rFonts w:asciiTheme="minorHAnsi" w:hAnsiTheme="minorHAnsi"/>
                <w:sz w:val="20"/>
              </w:rPr>
            </w:pPr>
            <w:r w:rsidRPr="0066013A">
              <w:rPr>
                <w:rFonts w:asciiTheme="minorHAnsi" w:hAnsiTheme="minorHAnsi"/>
                <w:sz w:val="20"/>
              </w:rPr>
              <w:t>ICT Technology Infra-structure.</w:t>
            </w:r>
          </w:p>
          <w:p w:rsidR="001D7BCB" w:rsidRPr="0066013A" w:rsidRDefault="001D7BCB" w:rsidP="001D7BCB">
            <w:pPr>
              <w:pStyle w:val="ListParagraph"/>
              <w:ind w:left="360"/>
              <w:jc w:val="left"/>
              <w:rPr>
                <w:rFonts w:asciiTheme="minorHAnsi" w:hAnsiTheme="minorHAnsi"/>
                <w:sz w:val="20"/>
              </w:rPr>
            </w:pPr>
          </w:p>
        </w:tc>
        <w:tc>
          <w:tcPr>
            <w:tcW w:w="3150" w:type="dxa"/>
          </w:tcPr>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 xml:space="preserve">NBA provides consultation on the development of an ICT Technology Infra-structure.  </w:t>
            </w:r>
          </w:p>
        </w:tc>
        <w:tc>
          <w:tcPr>
            <w:tcW w:w="0" w:type="auto"/>
          </w:tcPr>
          <w:p w:rsidR="001D7BCB" w:rsidRPr="0066013A" w:rsidRDefault="001D7BCB" w:rsidP="001D7BCB">
            <w:pPr>
              <w:rPr>
                <w:rFonts w:asciiTheme="minorHAnsi" w:hAnsiTheme="minorHAnsi"/>
                <w:sz w:val="20"/>
                <w:szCs w:val="20"/>
              </w:rPr>
            </w:pPr>
            <w:r w:rsidRPr="0066013A">
              <w:rPr>
                <w:rFonts w:asciiTheme="minorHAnsi" w:hAnsiTheme="minorHAnsi"/>
                <w:sz w:val="20"/>
                <w:szCs w:val="20"/>
              </w:rPr>
              <w:t>NID:</w:t>
            </w:r>
          </w:p>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 xml:space="preserve">Establishes and manages an appropriate ICT Technology Infra-structure. </w:t>
            </w:r>
          </w:p>
          <w:p w:rsidR="001D7BCB" w:rsidRPr="00DC3BD9" w:rsidRDefault="001D7BCB" w:rsidP="00DC3BD9">
            <w:pPr>
              <w:pStyle w:val="ListParagraph"/>
              <w:spacing w:after="120"/>
              <w:ind w:left="357"/>
              <w:jc w:val="left"/>
              <w:rPr>
                <w:rFonts w:asciiTheme="minorHAnsi" w:hAnsiTheme="minorHAnsi"/>
                <w:i/>
                <w:sz w:val="20"/>
                <w:szCs w:val="20"/>
              </w:rPr>
            </w:pPr>
            <w:r w:rsidRPr="00DC3BD9">
              <w:rPr>
                <w:rFonts w:asciiTheme="minorHAnsi" w:hAnsiTheme="minorHAnsi"/>
                <w:i/>
                <w:sz w:val="20"/>
                <w:szCs w:val="20"/>
              </w:rPr>
              <w:t>[See Appendix 2].</w:t>
            </w:r>
          </w:p>
        </w:tc>
      </w:tr>
      <w:tr w:rsidR="001D7BCB" w:rsidRPr="00441171">
        <w:tc>
          <w:tcPr>
            <w:tcW w:w="3369" w:type="dxa"/>
          </w:tcPr>
          <w:p w:rsidR="001D7BCB" w:rsidRPr="0066013A" w:rsidRDefault="001D7BCB" w:rsidP="001D7BCB">
            <w:pPr>
              <w:pStyle w:val="ListParagraph"/>
              <w:numPr>
                <w:ilvl w:val="0"/>
                <w:numId w:val="37"/>
              </w:numPr>
              <w:jc w:val="left"/>
              <w:rPr>
                <w:rFonts w:asciiTheme="minorHAnsi" w:hAnsiTheme="minorHAnsi"/>
                <w:sz w:val="20"/>
              </w:rPr>
            </w:pPr>
            <w:r w:rsidRPr="0066013A">
              <w:rPr>
                <w:rFonts w:asciiTheme="minorHAnsi" w:hAnsiTheme="minorHAnsi"/>
                <w:sz w:val="20"/>
              </w:rPr>
              <w:t>Programme accreditation.</w:t>
            </w:r>
          </w:p>
          <w:p w:rsidR="001D7BCB" w:rsidRPr="0066013A" w:rsidRDefault="001D7BCB" w:rsidP="001D7BCB">
            <w:pPr>
              <w:pStyle w:val="ListParagraph"/>
              <w:ind w:left="360"/>
              <w:jc w:val="left"/>
              <w:rPr>
                <w:rFonts w:asciiTheme="minorHAnsi" w:hAnsiTheme="minorHAnsi"/>
                <w:sz w:val="20"/>
              </w:rPr>
            </w:pPr>
          </w:p>
        </w:tc>
        <w:tc>
          <w:tcPr>
            <w:tcW w:w="3150" w:type="dxa"/>
          </w:tcPr>
          <w:p w:rsidR="001D7BCB" w:rsidRPr="0066013A" w:rsidRDefault="001D7BCB" w:rsidP="001D7BCB">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NBA provides advice on accreditation through the CHE.</w:t>
            </w:r>
          </w:p>
        </w:tc>
        <w:tc>
          <w:tcPr>
            <w:tcW w:w="0" w:type="auto"/>
          </w:tcPr>
          <w:p w:rsidR="001D7BCB" w:rsidRPr="0066013A" w:rsidRDefault="001D7BCB" w:rsidP="00937CEA">
            <w:pPr>
              <w:jc w:val="left"/>
              <w:rPr>
                <w:rFonts w:asciiTheme="minorHAnsi" w:hAnsiTheme="minorHAnsi"/>
                <w:sz w:val="20"/>
                <w:szCs w:val="20"/>
              </w:rPr>
            </w:pPr>
            <w:r w:rsidRPr="0066013A">
              <w:rPr>
                <w:rFonts w:asciiTheme="minorHAnsi" w:hAnsiTheme="minorHAnsi"/>
                <w:sz w:val="20"/>
                <w:szCs w:val="20"/>
              </w:rPr>
              <w:t>NID:</w:t>
            </w:r>
          </w:p>
          <w:p w:rsidR="001D7BCB" w:rsidRPr="0066013A" w:rsidRDefault="001D7BCB" w:rsidP="00937CEA">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Investigates accreditation processes with the DHET and CHE.</w:t>
            </w:r>
          </w:p>
          <w:p w:rsidR="001D7BCB" w:rsidRPr="0066013A" w:rsidRDefault="001D7BCB" w:rsidP="00937CEA">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 xml:space="preserve">Establishes HCE Programme articulation with accredited teacher education providers. </w:t>
            </w:r>
          </w:p>
          <w:p w:rsidR="001D7BCB" w:rsidRPr="0066013A" w:rsidRDefault="001D7BCB" w:rsidP="00DC3BD9">
            <w:pPr>
              <w:pStyle w:val="ListParagraph"/>
              <w:numPr>
                <w:ilvl w:val="0"/>
                <w:numId w:val="39"/>
              </w:numPr>
              <w:spacing w:after="120"/>
              <w:jc w:val="left"/>
              <w:rPr>
                <w:rFonts w:asciiTheme="minorHAnsi" w:hAnsiTheme="minorHAnsi"/>
                <w:sz w:val="20"/>
                <w:szCs w:val="20"/>
              </w:rPr>
            </w:pPr>
            <w:r w:rsidRPr="0066013A">
              <w:rPr>
                <w:rFonts w:asciiTheme="minorHAnsi" w:hAnsiTheme="minorHAnsi"/>
                <w:sz w:val="20"/>
                <w:szCs w:val="20"/>
              </w:rPr>
              <w:t>Manages Partnership</w:t>
            </w:r>
            <w:r w:rsidR="00DC3BD9">
              <w:rPr>
                <w:rFonts w:asciiTheme="minorHAnsi" w:hAnsiTheme="minorHAnsi"/>
                <w:sz w:val="20"/>
                <w:szCs w:val="20"/>
              </w:rPr>
              <w:t xml:space="preserve"> Agreements with  selected HEIs, TVET’s </w:t>
            </w:r>
            <w:r w:rsidRPr="0066013A">
              <w:rPr>
                <w:rFonts w:asciiTheme="minorHAnsi" w:hAnsiTheme="minorHAnsi"/>
                <w:sz w:val="20"/>
                <w:szCs w:val="20"/>
              </w:rPr>
              <w:t xml:space="preserve">and community colleges with respect to articulation and expanded delivery. </w:t>
            </w:r>
          </w:p>
        </w:tc>
      </w:tr>
      <w:tr w:rsidR="001D7BCB" w:rsidRPr="00441171">
        <w:tc>
          <w:tcPr>
            <w:tcW w:w="3369" w:type="dxa"/>
          </w:tcPr>
          <w:p w:rsidR="001D7BCB" w:rsidRPr="0066013A" w:rsidRDefault="001D7BCB" w:rsidP="001D7BCB">
            <w:pPr>
              <w:pStyle w:val="ListParagraph"/>
              <w:numPr>
                <w:ilvl w:val="0"/>
                <w:numId w:val="37"/>
              </w:numPr>
              <w:jc w:val="left"/>
              <w:rPr>
                <w:rFonts w:asciiTheme="minorHAnsi" w:hAnsiTheme="minorHAnsi"/>
                <w:sz w:val="20"/>
              </w:rPr>
            </w:pPr>
            <w:r w:rsidRPr="0066013A">
              <w:rPr>
                <w:rFonts w:asciiTheme="minorHAnsi" w:hAnsiTheme="minorHAnsi"/>
                <w:sz w:val="20"/>
              </w:rPr>
              <w:t xml:space="preserve">Access to the HCE. </w:t>
            </w:r>
          </w:p>
        </w:tc>
        <w:tc>
          <w:tcPr>
            <w:tcW w:w="3150" w:type="dxa"/>
          </w:tcPr>
          <w:p w:rsidR="001D7BCB" w:rsidRPr="0066013A" w:rsidRDefault="001D7BCB" w:rsidP="001D7BCB">
            <w:pPr>
              <w:jc w:val="left"/>
              <w:rPr>
                <w:sz w:val="20"/>
                <w:szCs w:val="20"/>
              </w:rPr>
            </w:pPr>
          </w:p>
        </w:tc>
        <w:tc>
          <w:tcPr>
            <w:tcW w:w="0" w:type="auto"/>
          </w:tcPr>
          <w:p w:rsidR="001D7BCB" w:rsidRPr="0066013A" w:rsidRDefault="001D7BCB" w:rsidP="00937CEA">
            <w:pPr>
              <w:jc w:val="left"/>
              <w:rPr>
                <w:rFonts w:asciiTheme="minorHAnsi" w:hAnsiTheme="minorHAnsi"/>
                <w:sz w:val="20"/>
                <w:szCs w:val="20"/>
              </w:rPr>
            </w:pPr>
            <w:r w:rsidRPr="0066013A">
              <w:rPr>
                <w:rFonts w:asciiTheme="minorHAnsi" w:hAnsiTheme="minorHAnsi"/>
                <w:sz w:val="20"/>
                <w:szCs w:val="20"/>
              </w:rPr>
              <w:t>NID:</w:t>
            </w:r>
          </w:p>
          <w:p w:rsidR="001D7BCB" w:rsidRPr="0066013A" w:rsidRDefault="001D7BCB" w:rsidP="00937CEA">
            <w:pPr>
              <w:pStyle w:val="ListParagraph"/>
              <w:numPr>
                <w:ilvl w:val="0"/>
                <w:numId w:val="39"/>
              </w:numPr>
              <w:jc w:val="left"/>
              <w:rPr>
                <w:rFonts w:asciiTheme="minorHAnsi" w:hAnsiTheme="minorHAnsi"/>
                <w:sz w:val="20"/>
                <w:szCs w:val="20"/>
              </w:rPr>
            </w:pPr>
            <w:r w:rsidRPr="0066013A">
              <w:rPr>
                <w:rFonts w:asciiTheme="minorHAnsi" w:hAnsiTheme="minorHAnsi"/>
                <w:sz w:val="20"/>
                <w:szCs w:val="20"/>
              </w:rPr>
              <w:t xml:space="preserve">Investigates what is involved in </w:t>
            </w:r>
            <w:r w:rsidR="00937CEA">
              <w:rPr>
                <w:rFonts w:asciiTheme="minorHAnsi" w:hAnsiTheme="minorHAnsi"/>
                <w:sz w:val="20"/>
                <w:szCs w:val="20"/>
              </w:rPr>
              <w:t xml:space="preserve">a selection and </w:t>
            </w:r>
            <w:r w:rsidRPr="0066013A">
              <w:rPr>
                <w:rFonts w:asciiTheme="minorHAnsi" w:hAnsiTheme="minorHAnsi"/>
                <w:sz w:val="20"/>
                <w:szCs w:val="20"/>
              </w:rPr>
              <w:t xml:space="preserve">ability screening process for the HCE. </w:t>
            </w:r>
          </w:p>
          <w:p w:rsidR="001D7BCB" w:rsidRPr="00DC3BD9" w:rsidRDefault="001D7BCB" w:rsidP="00DC3BD9">
            <w:pPr>
              <w:pStyle w:val="ListParagraph"/>
              <w:numPr>
                <w:ilvl w:val="0"/>
                <w:numId w:val="39"/>
              </w:numPr>
              <w:spacing w:after="120"/>
              <w:jc w:val="left"/>
              <w:rPr>
                <w:rFonts w:asciiTheme="minorHAnsi" w:hAnsiTheme="minorHAnsi"/>
                <w:sz w:val="20"/>
                <w:szCs w:val="20"/>
              </w:rPr>
            </w:pPr>
            <w:r w:rsidRPr="0066013A">
              <w:rPr>
                <w:rFonts w:asciiTheme="minorHAnsi" w:hAnsiTheme="minorHAnsi"/>
                <w:sz w:val="20"/>
                <w:szCs w:val="20"/>
              </w:rPr>
              <w:t xml:space="preserve">Establishes an appropiriate </w:t>
            </w:r>
            <w:r w:rsidR="00937CEA">
              <w:rPr>
                <w:rFonts w:asciiTheme="minorHAnsi" w:hAnsiTheme="minorHAnsi"/>
                <w:sz w:val="20"/>
                <w:szCs w:val="20"/>
              </w:rPr>
              <w:t xml:space="preserve">selection and </w:t>
            </w:r>
            <w:r w:rsidRPr="0066013A">
              <w:rPr>
                <w:rFonts w:asciiTheme="minorHAnsi" w:hAnsiTheme="minorHAnsi"/>
                <w:sz w:val="20"/>
                <w:szCs w:val="20"/>
              </w:rPr>
              <w:t>ability screening process for the HCE.</w:t>
            </w:r>
          </w:p>
        </w:tc>
      </w:tr>
    </w:tbl>
    <w:p w:rsidR="001D7BCB" w:rsidRDefault="001D7BCB" w:rsidP="001D7BCB"/>
    <w:p w:rsidR="00642403" w:rsidRDefault="00D961D5" w:rsidP="00D961D5">
      <w:pPr>
        <w:pStyle w:val="Heading1"/>
        <w:spacing w:before="360" w:after="240"/>
      </w:pPr>
      <w:r>
        <w:t>References</w:t>
      </w:r>
    </w:p>
    <w:p w:rsidR="006230E1" w:rsidRDefault="00CB3F86" w:rsidP="006230E1">
      <w:pPr>
        <w:spacing w:after="0"/>
        <w:rPr>
          <w:rFonts w:cs="Times"/>
          <w:szCs w:val="20"/>
          <w:lang w:val="en-US"/>
        </w:rPr>
      </w:pPr>
      <w:r w:rsidRPr="00750A79">
        <w:rPr>
          <w:rFonts w:cs="Times"/>
          <w:color w:val="000000"/>
          <w:szCs w:val="24"/>
          <w:lang w:val="en-US"/>
        </w:rPr>
        <w:t>Andresen, L</w:t>
      </w:r>
      <w:r w:rsidR="00750A79" w:rsidRPr="00750A79">
        <w:rPr>
          <w:rFonts w:cs="Times"/>
          <w:color w:val="000000"/>
          <w:szCs w:val="24"/>
          <w:lang w:val="en-US"/>
        </w:rPr>
        <w:t xml:space="preserve">., </w:t>
      </w:r>
      <w:r w:rsidRPr="00750A79">
        <w:rPr>
          <w:rFonts w:cs="Times"/>
          <w:color w:val="000000"/>
          <w:szCs w:val="24"/>
          <w:lang w:val="en-US"/>
        </w:rPr>
        <w:t>Boud</w:t>
      </w:r>
      <w:r w:rsidR="00750A79" w:rsidRPr="00750A79">
        <w:rPr>
          <w:rFonts w:cs="Times"/>
          <w:color w:val="000000"/>
          <w:szCs w:val="24"/>
          <w:lang w:val="en-US"/>
        </w:rPr>
        <w:t xml:space="preserve">, D., </w:t>
      </w:r>
      <w:r w:rsidRPr="00750A79">
        <w:rPr>
          <w:rFonts w:cs="Times"/>
          <w:color w:val="000000"/>
          <w:szCs w:val="24"/>
          <w:lang w:val="en-US"/>
        </w:rPr>
        <w:t>Cohen</w:t>
      </w:r>
      <w:r w:rsidR="00750A79" w:rsidRPr="00750A79">
        <w:rPr>
          <w:rFonts w:cs="Times"/>
          <w:color w:val="000000"/>
          <w:szCs w:val="24"/>
          <w:lang w:val="en-US"/>
        </w:rPr>
        <w:t xml:space="preserve">, R., </w:t>
      </w:r>
      <w:r w:rsidR="00750A79" w:rsidRPr="00750A79">
        <w:rPr>
          <w:rFonts w:cs="Times"/>
          <w:i/>
          <w:color w:val="000000"/>
          <w:szCs w:val="24"/>
          <w:lang w:val="en-US"/>
        </w:rPr>
        <w:t xml:space="preserve">Experience-based learning, </w:t>
      </w:r>
      <w:r w:rsidR="00750A79" w:rsidRPr="00750A79">
        <w:rPr>
          <w:rFonts w:cs="Times"/>
          <w:color w:val="000000"/>
          <w:szCs w:val="20"/>
          <w:lang w:val="en-US"/>
        </w:rPr>
        <w:t xml:space="preserve">Chapter published in Foley, G. (Ed.). </w:t>
      </w:r>
      <w:r w:rsidR="00750A79" w:rsidRPr="006230E1">
        <w:rPr>
          <w:rFonts w:cs="Times"/>
          <w:i/>
          <w:iCs/>
          <w:color w:val="000000"/>
          <w:szCs w:val="20"/>
          <w:lang w:val="en-US"/>
        </w:rPr>
        <w:t>Understanding Adult Education and Training</w:t>
      </w:r>
      <w:r w:rsidR="00750A79" w:rsidRPr="006230E1">
        <w:rPr>
          <w:rFonts w:cs="Times"/>
          <w:color w:val="000000"/>
          <w:szCs w:val="20"/>
          <w:lang w:val="en-US"/>
        </w:rPr>
        <w:t>. Second Edition. Sydney: Allen &amp; Unwin, 225-239</w:t>
      </w:r>
      <w:r w:rsidR="00FA4298" w:rsidRPr="006230E1">
        <w:rPr>
          <w:rFonts w:cs="Times"/>
          <w:color w:val="000000"/>
          <w:szCs w:val="20"/>
          <w:lang w:val="en-US"/>
        </w:rPr>
        <w:t>, (1999)</w:t>
      </w:r>
      <w:r w:rsidR="00750A79" w:rsidRPr="006230E1">
        <w:rPr>
          <w:rFonts w:cs="Times"/>
          <w:color w:val="000000"/>
          <w:szCs w:val="20"/>
          <w:lang w:val="en-US"/>
        </w:rPr>
        <w:t xml:space="preserve">. </w:t>
      </w:r>
      <w:hyperlink r:id="rId20" w:history="1">
        <w:r w:rsidR="006230E1" w:rsidRPr="007A02E3">
          <w:rPr>
            <w:rStyle w:val="Hyperlink"/>
            <w:rFonts w:cs="Times"/>
            <w:szCs w:val="20"/>
            <w:lang w:val="en-US"/>
          </w:rPr>
          <w:t>http://complexworld.pbworks.com/f/Experience-based%20learning.pdf</w:t>
        </w:r>
      </w:hyperlink>
    </w:p>
    <w:p w:rsidR="00750A79" w:rsidRPr="006230E1" w:rsidRDefault="006D2FAE" w:rsidP="006230E1">
      <w:pPr>
        <w:rPr>
          <w:rFonts w:cs="Times"/>
          <w:szCs w:val="20"/>
          <w:lang w:val="en-US"/>
        </w:rPr>
      </w:pPr>
      <w:r w:rsidRPr="006230E1">
        <w:rPr>
          <w:rFonts w:cs="Times"/>
          <w:color w:val="000000"/>
          <w:szCs w:val="20"/>
          <w:lang w:val="en-US"/>
        </w:rPr>
        <w:t>[Accessed 25 October, 2013]</w:t>
      </w:r>
    </w:p>
    <w:p w:rsidR="00AC738A" w:rsidRDefault="00D4520D" w:rsidP="0096272B">
      <w:pPr>
        <w:spacing w:after="240"/>
        <w:rPr>
          <w:rFonts w:ascii="Calibri" w:hAnsi="Calibri"/>
          <w:lang w:val="en-GB" w:eastAsia="en-US"/>
        </w:rPr>
      </w:pPr>
      <w:r w:rsidRPr="00D4520D">
        <w:rPr>
          <w:rFonts w:ascii="Calibri" w:hAnsi="Calibri"/>
          <w:lang w:val="en-GB" w:eastAsia="en-US"/>
        </w:rPr>
        <w:t xml:space="preserve">Department of Higher Education and Training (DHET). 2011. National Qualifications Framework, Act 67 of 2008. Policy on the Minimum Requirements for Teacher Education Qualifications. </w:t>
      </w:r>
      <w:r w:rsidRPr="00D4520D">
        <w:rPr>
          <w:rFonts w:ascii="Calibri" w:hAnsi="Calibri"/>
          <w:i/>
          <w:lang w:val="en-GB" w:eastAsia="en-US"/>
        </w:rPr>
        <w:t>Government Gazette, 15 July 2011, No. 34467</w:t>
      </w:r>
      <w:r w:rsidRPr="00D4520D">
        <w:rPr>
          <w:rFonts w:ascii="Calibri" w:hAnsi="Calibri"/>
          <w:lang w:val="en-GB" w:eastAsia="en-US"/>
        </w:rPr>
        <w:t>. Pretoria: Government Printer.</w:t>
      </w:r>
    </w:p>
    <w:p w:rsidR="00B46684" w:rsidRDefault="00D4520D" w:rsidP="0096272B">
      <w:pPr>
        <w:spacing w:after="240"/>
        <w:rPr>
          <w:rFonts w:ascii="Calibri" w:hAnsi="Calibri"/>
          <w:lang w:val="en-GB" w:eastAsia="en-US"/>
        </w:rPr>
      </w:pPr>
      <w:r w:rsidRPr="00D4520D">
        <w:rPr>
          <w:rFonts w:ascii="Calibri" w:hAnsi="Calibri"/>
          <w:lang w:val="en-GB" w:eastAsia="en-US"/>
        </w:rPr>
        <w:lastRenderedPageBreak/>
        <w:t xml:space="preserve">Department of Higher Education and Training (DHET). 2013. </w:t>
      </w:r>
      <w:r w:rsidRPr="00D4520D">
        <w:rPr>
          <w:rFonts w:ascii="Calibri" w:hAnsi="Calibri"/>
          <w:i/>
          <w:lang w:val="en-GB" w:eastAsia="en-US"/>
        </w:rPr>
        <w:t>White Paper for Post-School Education and Training: Building an Expanded, Effective and Integrated Post-school System</w:t>
      </w:r>
      <w:r w:rsidRPr="00D4520D">
        <w:rPr>
          <w:rFonts w:ascii="Calibri" w:hAnsi="Calibri"/>
          <w:lang w:val="en-GB" w:eastAsia="en-US"/>
        </w:rPr>
        <w:t>. Pretoria: DHET.</w:t>
      </w:r>
    </w:p>
    <w:tbl>
      <w:tblPr>
        <w:tblStyle w:val="TableGrid"/>
        <w:tblW w:w="0" w:type="auto"/>
        <w:tblInd w:w="108" w:type="dxa"/>
        <w:tblLook w:val="00A0" w:firstRow="1" w:lastRow="0" w:firstColumn="1" w:lastColumn="0" w:noHBand="0" w:noVBand="0"/>
      </w:tblPr>
      <w:tblGrid>
        <w:gridCol w:w="9134"/>
      </w:tblGrid>
      <w:tr w:rsidR="00B46684">
        <w:tc>
          <w:tcPr>
            <w:tcW w:w="9134" w:type="dxa"/>
          </w:tcPr>
          <w:p w:rsidR="00B46684" w:rsidRPr="00950CF6" w:rsidRDefault="0096272B" w:rsidP="00950CF6">
            <w:pPr>
              <w:spacing w:before="240"/>
              <w:rPr>
                <w:rFonts w:asciiTheme="minorHAnsi" w:eastAsiaTheme="majorEastAsia" w:hAnsiTheme="minorHAnsi" w:cstheme="majorBidi"/>
                <w:b/>
                <w:bCs/>
                <w:sz w:val="22"/>
                <w:szCs w:val="22"/>
              </w:rPr>
            </w:pPr>
            <w:r w:rsidRPr="00950CF6">
              <w:rPr>
                <w:rFonts w:asciiTheme="minorHAnsi" w:eastAsiaTheme="majorEastAsia" w:hAnsiTheme="minorHAnsi" w:cstheme="majorBidi"/>
                <w:b/>
                <w:bCs/>
                <w:sz w:val="22"/>
                <w:szCs w:val="22"/>
              </w:rPr>
              <w:t xml:space="preserve">Key issues </w:t>
            </w:r>
          </w:p>
          <w:p w:rsidR="00B46684" w:rsidRPr="00B46684" w:rsidRDefault="00B46684" w:rsidP="0096272B">
            <w:pPr>
              <w:spacing w:before="120"/>
              <w:ind w:left="720" w:hanging="720"/>
              <w:jc w:val="left"/>
              <w:rPr>
                <w:rFonts w:asciiTheme="minorHAnsi" w:hAnsiTheme="minorHAnsi"/>
                <w:sz w:val="20"/>
              </w:rPr>
            </w:pPr>
            <w:r w:rsidRPr="00B46684">
              <w:rPr>
                <w:rFonts w:asciiTheme="minorHAnsi" w:hAnsiTheme="minorHAnsi"/>
                <w:sz w:val="20"/>
              </w:rPr>
              <w:t>Building and expanded effective and integrated post-school system.</w:t>
            </w:r>
          </w:p>
          <w:p w:rsidR="00B46684" w:rsidRPr="00B46684" w:rsidRDefault="00B46684" w:rsidP="0096272B">
            <w:pPr>
              <w:pStyle w:val="ListParagraph"/>
              <w:numPr>
                <w:ilvl w:val="0"/>
                <w:numId w:val="29"/>
              </w:numPr>
              <w:jc w:val="left"/>
              <w:rPr>
                <w:rFonts w:asciiTheme="minorHAnsi" w:hAnsiTheme="minorHAnsi"/>
                <w:sz w:val="20"/>
              </w:rPr>
            </w:pPr>
            <w:r w:rsidRPr="00B46684">
              <w:rPr>
                <w:rFonts w:asciiTheme="minorHAnsi" w:hAnsiTheme="minorHAnsi"/>
                <w:i/>
                <w:sz w:val="20"/>
              </w:rPr>
              <w:t>Ministers preface:</w:t>
            </w:r>
            <w:r w:rsidRPr="00B46684">
              <w:rPr>
                <w:rFonts w:asciiTheme="minorHAnsi" w:hAnsiTheme="minorHAnsi"/>
                <w:sz w:val="20"/>
              </w:rPr>
              <w:t xml:space="preserve">  …. Diverse range …. high quality…. provide paths (diversity) …. </w:t>
            </w:r>
            <w:r w:rsidRPr="00886197">
              <w:rPr>
                <w:rFonts w:asciiTheme="minorHAnsi" w:hAnsiTheme="minorHAnsi"/>
                <w:b/>
                <w:sz w:val="20"/>
              </w:rPr>
              <w:t>no dead ends</w:t>
            </w:r>
            <w:r w:rsidRPr="00B46684">
              <w:rPr>
                <w:rFonts w:asciiTheme="minorHAnsi" w:hAnsiTheme="minorHAnsi"/>
                <w:sz w:val="20"/>
                <w:u w:val="single"/>
              </w:rPr>
              <w:t xml:space="preserve"> </w:t>
            </w:r>
            <w:r w:rsidRPr="00B46684">
              <w:rPr>
                <w:rFonts w:asciiTheme="minorHAnsi" w:hAnsiTheme="minorHAnsi"/>
                <w:sz w:val="20"/>
              </w:rPr>
              <w:t>…. (VII)</w:t>
            </w:r>
          </w:p>
          <w:p w:rsidR="00B46684" w:rsidRPr="00B46684" w:rsidRDefault="00B46684" w:rsidP="0096272B">
            <w:pPr>
              <w:pStyle w:val="ListParagraph"/>
              <w:numPr>
                <w:ilvl w:val="0"/>
                <w:numId w:val="29"/>
              </w:numPr>
              <w:jc w:val="left"/>
              <w:rPr>
                <w:rFonts w:asciiTheme="minorHAnsi" w:hAnsiTheme="minorHAnsi"/>
                <w:sz w:val="20"/>
              </w:rPr>
            </w:pPr>
            <w:r w:rsidRPr="00B46684">
              <w:rPr>
                <w:rFonts w:asciiTheme="minorHAnsi" w:hAnsiTheme="minorHAnsi"/>
                <w:sz w:val="20"/>
              </w:rPr>
              <w:t>Employers partnerships …. develop thinking citizens …. Transformation = framework of diversity!</w:t>
            </w:r>
          </w:p>
          <w:p w:rsidR="00B46684" w:rsidRPr="00B46684" w:rsidRDefault="00B46684" w:rsidP="0096272B">
            <w:pPr>
              <w:pStyle w:val="ListParagraph"/>
              <w:numPr>
                <w:ilvl w:val="0"/>
                <w:numId w:val="29"/>
              </w:numPr>
              <w:jc w:val="left"/>
              <w:rPr>
                <w:rFonts w:asciiTheme="minorHAnsi" w:hAnsiTheme="minorHAnsi"/>
                <w:sz w:val="20"/>
              </w:rPr>
            </w:pPr>
            <w:r w:rsidRPr="00B46684">
              <w:rPr>
                <w:rFonts w:asciiTheme="minorHAnsi" w:hAnsiTheme="minorHAnsi"/>
                <w:i/>
                <w:sz w:val="20"/>
              </w:rPr>
              <w:t>Executive summary</w:t>
            </w:r>
            <w:r w:rsidRPr="00B46684">
              <w:rPr>
                <w:rFonts w:asciiTheme="minorHAnsi" w:hAnsiTheme="minorHAnsi"/>
                <w:sz w:val="20"/>
                <w:u w:val="single"/>
              </w:rPr>
              <w:t>:</w:t>
            </w:r>
            <w:r w:rsidRPr="00B46684">
              <w:rPr>
                <w:rFonts w:asciiTheme="minorHAnsi" w:hAnsiTheme="minorHAnsi"/>
                <w:sz w:val="20"/>
              </w:rPr>
              <w:t xml:space="preserve">  Strategies, TVET colleges, Community colleges (</w:t>
            </w:r>
            <w:r w:rsidRPr="00886197">
              <w:rPr>
                <w:rFonts w:asciiTheme="minorHAnsi" w:hAnsiTheme="minorHAnsi"/>
                <w:b/>
                <w:sz w:val="20"/>
              </w:rPr>
              <w:t xml:space="preserve">occupational </w:t>
            </w:r>
            <w:r w:rsidRPr="00B46684">
              <w:rPr>
                <w:rFonts w:asciiTheme="minorHAnsi" w:hAnsiTheme="minorHAnsi"/>
                <w:sz w:val="20"/>
              </w:rPr>
              <w:t xml:space="preserve">programmes, community </w:t>
            </w:r>
            <w:r w:rsidRPr="00886197">
              <w:rPr>
                <w:rFonts w:asciiTheme="minorHAnsi" w:hAnsiTheme="minorHAnsi"/>
                <w:b/>
                <w:sz w:val="20"/>
              </w:rPr>
              <w:t xml:space="preserve">responsiveness </w:t>
            </w:r>
            <w:r w:rsidRPr="00B46684">
              <w:rPr>
                <w:rFonts w:asciiTheme="minorHAnsi" w:hAnsiTheme="minorHAnsi"/>
                <w:sz w:val="20"/>
              </w:rPr>
              <w:t xml:space="preserve">and its focus on </w:t>
            </w:r>
            <w:r w:rsidRPr="00886197">
              <w:rPr>
                <w:rFonts w:asciiTheme="minorHAnsi" w:hAnsiTheme="minorHAnsi"/>
                <w:b/>
                <w:sz w:val="20"/>
              </w:rPr>
              <w:t xml:space="preserve">citizen </w:t>
            </w:r>
            <w:r w:rsidRPr="00B46684">
              <w:rPr>
                <w:rFonts w:asciiTheme="minorHAnsi" w:hAnsiTheme="minorHAnsi"/>
                <w:sz w:val="20"/>
              </w:rPr>
              <w:t xml:space="preserve">and </w:t>
            </w:r>
            <w:r w:rsidRPr="00886197">
              <w:rPr>
                <w:rFonts w:asciiTheme="minorHAnsi" w:hAnsiTheme="minorHAnsi"/>
                <w:b/>
                <w:sz w:val="20"/>
              </w:rPr>
              <w:t xml:space="preserve">social </w:t>
            </w:r>
            <w:r w:rsidRPr="00B46684">
              <w:rPr>
                <w:rFonts w:asciiTheme="minorHAnsi" w:hAnsiTheme="minorHAnsi"/>
                <w:sz w:val="20"/>
              </w:rPr>
              <w:t>education (XI)</w:t>
            </w:r>
          </w:p>
          <w:p w:rsidR="00B46684" w:rsidRPr="00B46684" w:rsidRDefault="00B46684" w:rsidP="0096272B">
            <w:pPr>
              <w:pStyle w:val="ListParagraph"/>
              <w:numPr>
                <w:ilvl w:val="0"/>
                <w:numId w:val="29"/>
              </w:numPr>
              <w:jc w:val="left"/>
              <w:rPr>
                <w:rFonts w:asciiTheme="minorHAnsi" w:hAnsiTheme="minorHAnsi"/>
                <w:sz w:val="20"/>
              </w:rPr>
            </w:pPr>
            <w:r w:rsidRPr="00B46684">
              <w:rPr>
                <w:rFonts w:asciiTheme="minorHAnsi" w:hAnsiTheme="minorHAnsi"/>
                <w:i/>
                <w:sz w:val="20"/>
              </w:rPr>
              <w:t>Addressing disability</w:t>
            </w:r>
            <w:r w:rsidRPr="00B46684">
              <w:rPr>
                <w:rFonts w:asciiTheme="minorHAnsi" w:hAnsiTheme="minorHAnsi"/>
                <w:sz w:val="20"/>
              </w:rPr>
              <w:t xml:space="preserve"> (XV)</w:t>
            </w:r>
          </w:p>
          <w:p w:rsidR="00B46684" w:rsidRPr="00B46684" w:rsidRDefault="00B46684" w:rsidP="0096272B">
            <w:pPr>
              <w:pStyle w:val="ListParagraph"/>
              <w:numPr>
                <w:ilvl w:val="0"/>
                <w:numId w:val="29"/>
              </w:numPr>
              <w:jc w:val="left"/>
              <w:rPr>
                <w:rFonts w:asciiTheme="minorHAnsi" w:hAnsiTheme="minorHAnsi"/>
                <w:sz w:val="20"/>
              </w:rPr>
            </w:pPr>
            <w:r w:rsidRPr="00B46684">
              <w:rPr>
                <w:rFonts w:asciiTheme="minorHAnsi" w:hAnsiTheme="minorHAnsi"/>
                <w:i/>
                <w:sz w:val="20"/>
              </w:rPr>
              <w:t>Open learning through diverse modes of provision</w:t>
            </w:r>
            <w:r w:rsidRPr="00B46684">
              <w:rPr>
                <w:rFonts w:asciiTheme="minorHAnsi" w:hAnsiTheme="minorHAnsi"/>
                <w:sz w:val="20"/>
              </w:rPr>
              <w:t xml:space="preserve"> … connectivity for students … closer to their houses and appropriate to their contexts (Deaf accessible) … OER = open education resources – distance education …. blended learning resources … independent study …. life long learning (XV and p 48-54) </w:t>
            </w:r>
          </w:p>
          <w:p w:rsidR="00B46684" w:rsidRPr="00B46684" w:rsidRDefault="00B46684" w:rsidP="0096272B">
            <w:pPr>
              <w:jc w:val="left"/>
              <w:rPr>
                <w:rFonts w:asciiTheme="minorHAnsi" w:hAnsiTheme="minorHAnsi"/>
                <w:sz w:val="20"/>
              </w:rPr>
            </w:pPr>
          </w:p>
          <w:p w:rsidR="00B46684" w:rsidRPr="00B46684" w:rsidRDefault="00B46684" w:rsidP="0096272B">
            <w:pPr>
              <w:pStyle w:val="ListParagraph"/>
              <w:numPr>
                <w:ilvl w:val="0"/>
                <w:numId w:val="32"/>
              </w:numPr>
              <w:spacing w:after="120"/>
              <w:ind w:left="357" w:hanging="357"/>
              <w:jc w:val="left"/>
              <w:rPr>
                <w:rFonts w:asciiTheme="minorHAnsi" w:hAnsiTheme="minorHAnsi"/>
                <w:sz w:val="20"/>
              </w:rPr>
            </w:pPr>
            <w:r w:rsidRPr="00B46684">
              <w:rPr>
                <w:rFonts w:asciiTheme="minorHAnsi" w:hAnsiTheme="minorHAnsi"/>
                <w:sz w:val="20"/>
              </w:rPr>
              <w:t xml:space="preserve">Main Policy </w:t>
            </w:r>
            <w:r w:rsidRPr="00B46684">
              <w:rPr>
                <w:rFonts w:asciiTheme="minorHAnsi" w:hAnsiTheme="minorHAnsi"/>
                <w:i/>
                <w:sz w:val="20"/>
              </w:rPr>
              <w:t>objectives</w:t>
            </w:r>
            <w:r w:rsidRPr="00B46684">
              <w:rPr>
                <w:rFonts w:asciiTheme="minorHAnsi" w:hAnsiTheme="minorHAnsi"/>
                <w:sz w:val="20"/>
              </w:rPr>
              <w:t xml:space="preserve"> (p4)</w:t>
            </w:r>
          </w:p>
          <w:p w:rsidR="00B46684" w:rsidRPr="00B46684" w:rsidRDefault="00B46684" w:rsidP="0096272B">
            <w:pPr>
              <w:pStyle w:val="ListParagraph"/>
              <w:numPr>
                <w:ilvl w:val="1"/>
                <w:numId w:val="32"/>
              </w:numPr>
              <w:spacing w:before="120"/>
              <w:ind w:left="357" w:hanging="357"/>
              <w:jc w:val="left"/>
              <w:rPr>
                <w:rFonts w:asciiTheme="minorHAnsi" w:hAnsiTheme="minorHAnsi"/>
                <w:sz w:val="20"/>
              </w:rPr>
            </w:pPr>
            <w:r w:rsidRPr="00B46684">
              <w:rPr>
                <w:rFonts w:asciiTheme="minorHAnsi" w:hAnsiTheme="minorHAnsi"/>
                <w:sz w:val="20"/>
              </w:rPr>
              <w:t>Educa</w:t>
            </w:r>
            <w:r w:rsidRPr="00B46684">
              <w:rPr>
                <w:rFonts w:asciiTheme="minorHAnsi" w:hAnsiTheme="minorHAnsi"/>
                <w:i/>
                <w:sz w:val="20"/>
              </w:rPr>
              <w:t xml:space="preserve">tion and work:  </w:t>
            </w:r>
            <w:r w:rsidRPr="00B46684">
              <w:rPr>
                <w:rFonts w:asciiTheme="minorHAnsi" w:hAnsiTheme="minorHAnsi"/>
                <w:sz w:val="20"/>
              </w:rPr>
              <w:t>… prepare workers for the labour market … sustainable livelihoods … self-employment, community health education, literacy.</w:t>
            </w:r>
          </w:p>
          <w:p w:rsidR="00B46684" w:rsidRPr="00B46684" w:rsidRDefault="00B46684" w:rsidP="0096272B">
            <w:pPr>
              <w:pStyle w:val="ListParagraph"/>
              <w:numPr>
                <w:ilvl w:val="1"/>
                <w:numId w:val="32"/>
              </w:numPr>
              <w:spacing w:before="120"/>
              <w:ind w:left="357" w:hanging="357"/>
              <w:jc w:val="left"/>
              <w:rPr>
                <w:rFonts w:asciiTheme="minorHAnsi" w:hAnsiTheme="minorHAnsi"/>
                <w:sz w:val="20"/>
              </w:rPr>
            </w:pPr>
            <w:r w:rsidRPr="0096272B">
              <w:rPr>
                <w:rFonts w:asciiTheme="minorHAnsi" w:hAnsiTheme="minorHAnsi"/>
                <w:i/>
                <w:sz w:val="20"/>
              </w:rPr>
              <w:t>Responsiveness:</w:t>
            </w:r>
            <w:r w:rsidRPr="00B46684">
              <w:rPr>
                <w:rFonts w:asciiTheme="minorHAnsi" w:hAnsiTheme="minorHAnsi"/>
                <w:sz w:val="20"/>
              </w:rPr>
              <w:t xml:space="preserve">  … undertake research … transformation … special needs of various groups (disabled/Deaf) (p10)</w:t>
            </w:r>
          </w:p>
          <w:p w:rsidR="00B46684" w:rsidRPr="0096272B" w:rsidRDefault="00B46684" w:rsidP="0096272B">
            <w:pPr>
              <w:pStyle w:val="ListParagraph"/>
              <w:numPr>
                <w:ilvl w:val="1"/>
                <w:numId w:val="32"/>
              </w:numPr>
              <w:spacing w:before="120"/>
              <w:ind w:left="357" w:hanging="357"/>
              <w:jc w:val="left"/>
              <w:rPr>
                <w:rFonts w:asciiTheme="minorHAnsi" w:hAnsiTheme="minorHAnsi"/>
                <w:sz w:val="20"/>
              </w:rPr>
            </w:pPr>
            <w:r w:rsidRPr="0096272B">
              <w:rPr>
                <w:rFonts w:asciiTheme="minorHAnsi" w:hAnsiTheme="minorHAnsi"/>
                <w:sz w:val="20"/>
              </w:rPr>
              <w:t>The college system:  TVET and Community colleges (p 11-26)</w:t>
            </w:r>
            <w:r w:rsidRPr="0096272B">
              <w:rPr>
                <w:rFonts w:asciiTheme="minorHAnsi" w:hAnsiTheme="minorHAnsi"/>
                <w:sz w:val="20"/>
              </w:rPr>
              <w:br/>
            </w:r>
          </w:p>
          <w:p w:rsidR="00B46684" w:rsidRPr="0096272B" w:rsidRDefault="00B46684" w:rsidP="0096272B">
            <w:pPr>
              <w:pStyle w:val="ListParagraph"/>
              <w:numPr>
                <w:ilvl w:val="0"/>
                <w:numId w:val="34"/>
              </w:numPr>
              <w:jc w:val="left"/>
              <w:rPr>
                <w:rFonts w:asciiTheme="minorHAnsi" w:hAnsiTheme="minorHAnsi"/>
                <w:sz w:val="20"/>
              </w:rPr>
            </w:pPr>
            <w:r w:rsidRPr="0096272B">
              <w:rPr>
                <w:rFonts w:asciiTheme="minorHAnsi" w:hAnsiTheme="minorHAnsi"/>
                <w:sz w:val="20"/>
              </w:rPr>
              <w:t>Addressing disability (p44-46)</w:t>
            </w:r>
          </w:p>
          <w:p w:rsidR="00B46684" w:rsidRPr="00B46684" w:rsidRDefault="00B46684" w:rsidP="0096272B">
            <w:pPr>
              <w:pStyle w:val="ListParagraph"/>
              <w:numPr>
                <w:ilvl w:val="0"/>
                <w:numId w:val="34"/>
              </w:numPr>
              <w:rPr>
                <w:rFonts w:asciiTheme="minorHAnsi" w:hAnsiTheme="minorHAnsi"/>
                <w:sz w:val="20"/>
              </w:rPr>
            </w:pPr>
            <w:r w:rsidRPr="00B46684">
              <w:rPr>
                <w:rFonts w:asciiTheme="minorHAnsi" w:hAnsiTheme="minorHAnsi"/>
                <w:sz w:val="20"/>
              </w:rPr>
              <w:t>OER:  Distance education, open learning through divers</w:t>
            </w:r>
            <w:r w:rsidR="001D7BCB">
              <w:rPr>
                <w:rFonts w:asciiTheme="minorHAnsi" w:hAnsiTheme="minorHAnsi"/>
                <w:sz w:val="20"/>
              </w:rPr>
              <w:t>e</w:t>
            </w:r>
            <w:r w:rsidRPr="00B46684">
              <w:rPr>
                <w:rFonts w:asciiTheme="minorHAnsi" w:hAnsiTheme="minorHAnsi"/>
                <w:sz w:val="20"/>
              </w:rPr>
              <w:t xml:space="preserve"> modes of provision (p 48-55)</w:t>
            </w:r>
          </w:p>
          <w:p w:rsidR="00B46684" w:rsidRPr="00B46684" w:rsidRDefault="00B46684" w:rsidP="0096272B">
            <w:pPr>
              <w:pStyle w:val="ListParagraph"/>
              <w:numPr>
                <w:ilvl w:val="0"/>
                <w:numId w:val="34"/>
              </w:numPr>
              <w:rPr>
                <w:rFonts w:asciiTheme="minorHAnsi" w:hAnsiTheme="minorHAnsi"/>
                <w:sz w:val="20"/>
              </w:rPr>
            </w:pPr>
            <w:r w:rsidRPr="00B46684">
              <w:rPr>
                <w:rFonts w:asciiTheme="minorHAnsi" w:hAnsiTheme="minorHAnsi"/>
                <w:sz w:val="20"/>
              </w:rPr>
              <w:t>Workplace (Deaf accessible in hearing world of work) (p 56-63)</w:t>
            </w:r>
          </w:p>
          <w:p w:rsidR="00B46684" w:rsidRPr="0096272B" w:rsidRDefault="00B46684" w:rsidP="00886197">
            <w:pPr>
              <w:pStyle w:val="ListParagraph"/>
              <w:numPr>
                <w:ilvl w:val="0"/>
                <w:numId w:val="34"/>
              </w:numPr>
              <w:spacing w:after="120"/>
              <w:ind w:left="357" w:hanging="357"/>
              <w:rPr>
                <w:rFonts w:asciiTheme="minorHAnsi" w:hAnsiTheme="minorHAnsi"/>
                <w:sz w:val="20"/>
              </w:rPr>
            </w:pPr>
            <w:r w:rsidRPr="00B46684">
              <w:rPr>
                <w:rFonts w:asciiTheme="minorHAnsi" w:hAnsiTheme="minorHAnsi"/>
                <w:sz w:val="20"/>
              </w:rPr>
              <w:t>NQF (p 69-75)</w:t>
            </w:r>
          </w:p>
        </w:tc>
      </w:tr>
    </w:tbl>
    <w:p w:rsidR="00886197" w:rsidRDefault="00886197" w:rsidP="006230E1">
      <w:pPr>
        <w:spacing w:after="120"/>
      </w:pPr>
    </w:p>
    <w:p w:rsidR="00E83924" w:rsidRDefault="00642403" w:rsidP="006230E1">
      <w:pPr>
        <w:spacing w:after="120"/>
      </w:pPr>
      <w:r w:rsidRPr="006230E1">
        <w:t>Kolb, D</w:t>
      </w:r>
      <w:r w:rsidR="00501F9A" w:rsidRPr="006230E1">
        <w:t>. (1984)</w:t>
      </w:r>
      <w:r w:rsidRPr="006230E1">
        <w:t xml:space="preserve"> </w:t>
      </w:r>
      <w:r w:rsidRPr="006230E1">
        <w:rPr>
          <w:i/>
        </w:rPr>
        <w:t>Experiential Learning as the Science of Learning and Development</w:t>
      </w:r>
      <w:r w:rsidRPr="006230E1">
        <w:t>. Englewood Cliffs, NJ: Prentice Hall.</w:t>
      </w:r>
      <w:r w:rsidR="0040233A" w:rsidRPr="006230E1">
        <w:t xml:space="preserve"> </w:t>
      </w:r>
      <w:hyperlink r:id="rId21" w:history="1">
        <w:r w:rsidR="0040233A" w:rsidRPr="006230E1">
          <w:rPr>
            <w:rStyle w:val="Hyperlink"/>
          </w:rPr>
          <w:t>http://academic.regis.edu/ed205/kolb.pdf</w:t>
        </w:r>
      </w:hyperlink>
      <w:r w:rsidR="0040233A" w:rsidRPr="006230E1">
        <w:t xml:space="preserve"> [Accessed 25 October 2013]</w:t>
      </w:r>
    </w:p>
    <w:p w:rsidR="0040233A" w:rsidRPr="006230E1" w:rsidRDefault="00E83924" w:rsidP="00937CEA">
      <w:pPr>
        <w:spacing w:before="240" w:after="120"/>
      </w:pPr>
      <w:r>
        <w:t xml:space="preserve">Nadeosa Publication (2002) </w:t>
      </w:r>
      <w:r w:rsidRPr="00E83924">
        <w:rPr>
          <w:i/>
        </w:rPr>
        <w:t xml:space="preserve">Designing and Delivering Distance Education: Quality Criteria and Case Studies. </w:t>
      </w:r>
    </w:p>
    <w:p w:rsidR="001D7BCB" w:rsidRDefault="001D7BCB" w:rsidP="001D7BCB">
      <w:pPr>
        <w:spacing w:before="240"/>
      </w:pPr>
      <w:r>
        <w:t xml:space="preserve">Stewart, D.A. and Kluwin, T.N. (2001) </w:t>
      </w:r>
      <w:r>
        <w:rPr>
          <w:i/>
        </w:rPr>
        <w:t xml:space="preserve">Teaching Deaf and Hard of Hearing Students, </w:t>
      </w:r>
      <w:r>
        <w:t xml:space="preserve">Allyn and Bacon A Pearson Education Company. Massachusetts. USA. 2001. </w:t>
      </w:r>
    </w:p>
    <w:p w:rsidR="004B6271" w:rsidRPr="006230E1" w:rsidRDefault="00501F9A" w:rsidP="000C585A">
      <w:pPr>
        <w:pStyle w:val="Bibliography"/>
        <w:tabs>
          <w:tab w:val="num" w:pos="360"/>
        </w:tabs>
        <w:spacing w:before="240" w:after="120" w:line="240" w:lineRule="auto"/>
      </w:pPr>
      <w:r w:rsidRPr="006230E1">
        <w:t xml:space="preserve">Rowntree, D. (1998) The Role of Workshops in Staff Development, in C. Latchem and F. Lockwood (eds.) </w:t>
      </w:r>
      <w:r w:rsidRPr="006230E1">
        <w:rPr>
          <w:i/>
        </w:rPr>
        <w:t xml:space="preserve">Staff Development in Open and Flexible Learning, </w:t>
      </w:r>
      <w:r w:rsidRPr="006230E1">
        <w:t xml:space="preserve">Routledge. 1998. </w:t>
      </w:r>
    </w:p>
    <w:p w:rsidR="00937CEA" w:rsidRDefault="00294936" w:rsidP="000C585A">
      <w:pPr>
        <w:spacing w:before="240"/>
      </w:pPr>
      <w:r w:rsidRPr="006230E1">
        <w:t xml:space="preserve">Wenger, E., Trayner, B. </w:t>
      </w:r>
      <w:r w:rsidR="003634AB" w:rsidRPr="0000154A">
        <w:rPr>
          <w:i/>
        </w:rPr>
        <w:t>Communities of Practice, A brief introduction</w:t>
      </w:r>
      <w:r w:rsidR="003634AB" w:rsidRPr="006230E1">
        <w:t xml:space="preserve"> </w:t>
      </w:r>
      <w:hyperlink r:id="rId22" w:history="1">
        <w:r w:rsidR="003634AB" w:rsidRPr="006230E1">
          <w:rPr>
            <w:rStyle w:val="Hyperlink"/>
          </w:rPr>
          <w:t>http://wenger-trayner.com/theory/</w:t>
        </w:r>
      </w:hyperlink>
      <w:r w:rsidR="003634AB" w:rsidRPr="006230E1">
        <w:t xml:space="preserve"> [Accessed 25 October, 2015]</w:t>
      </w:r>
    </w:p>
    <w:p w:rsidR="009E7739" w:rsidRDefault="00937CEA" w:rsidP="00937CEA">
      <w:pPr>
        <w:pStyle w:val="Heading1"/>
        <w:spacing w:before="360" w:after="240"/>
      </w:pPr>
      <w:r>
        <w:rPr>
          <w:rFonts w:eastAsiaTheme="minorEastAsia" w:cstheme="minorBidi"/>
          <w:b w:val="0"/>
          <w:bCs w:val="0"/>
          <w:sz w:val="22"/>
          <w:szCs w:val="22"/>
        </w:rPr>
        <w:br w:type="page"/>
      </w:r>
      <w:r w:rsidR="009E7739">
        <w:lastRenderedPageBreak/>
        <w:t xml:space="preserve">Signatures </w:t>
      </w:r>
    </w:p>
    <w:p w:rsidR="009E7739" w:rsidRPr="003D2CA0" w:rsidRDefault="009E7739" w:rsidP="009E7739">
      <w:pPr>
        <w:spacing w:after="480"/>
        <w:rPr>
          <w:rFonts w:eastAsia="Times New Roman" w:cs="Arial"/>
          <w:bCs/>
          <w:kern w:val="28"/>
          <w:sz w:val="36"/>
          <w:szCs w:val="36"/>
        </w:rPr>
      </w:pPr>
      <w:r>
        <w:t xml:space="preserve">We agree with the contents of this </w:t>
      </w:r>
      <w:r w:rsidR="00950CF6">
        <w:t xml:space="preserve">Curriculum Framework </w:t>
      </w:r>
      <w:r>
        <w:t>specifying the key components of the proposed Certificate Programme for Educator</w:t>
      </w:r>
      <w:r w:rsidR="00950CF6">
        <w:t xml:space="preserve">s of the Deaf and persons with </w:t>
      </w:r>
      <w:r w:rsidR="00B45597">
        <w:t>hearing loss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21"/>
        <w:gridCol w:w="4621"/>
      </w:tblGrid>
      <w:tr w:rsidR="009E7739">
        <w:tc>
          <w:tcPr>
            <w:tcW w:w="4621" w:type="dxa"/>
          </w:tcPr>
          <w:p w:rsidR="009E7739" w:rsidRPr="003D2CA0" w:rsidRDefault="009E7739" w:rsidP="00370B01">
            <w:pPr>
              <w:rPr>
                <w:rFonts w:asciiTheme="minorHAnsi" w:hAnsiTheme="minorHAnsi"/>
                <w:b/>
                <w:sz w:val="22"/>
              </w:rPr>
            </w:pPr>
            <w:r w:rsidRPr="003D2CA0">
              <w:rPr>
                <w:rFonts w:asciiTheme="minorHAnsi" w:hAnsiTheme="minorHAnsi"/>
                <w:b/>
                <w:sz w:val="22"/>
              </w:rPr>
              <w:t xml:space="preserve">On behalf of NID </w:t>
            </w:r>
          </w:p>
        </w:tc>
        <w:tc>
          <w:tcPr>
            <w:tcW w:w="4621" w:type="dxa"/>
          </w:tcPr>
          <w:p w:rsidR="009E7739" w:rsidRPr="003D2CA0" w:rsidRDefault="009E7739" w:rsidP="0094682F">
            <w:pPr>
              <w:rPr>
                <w:rFonts w:asciiTheme="minorHAnsi" w:hAnsiTheme="minorHAnsi"/>
                <w:b/>
                <w:sz w:val="22"/>
              </w:rPr>
            </w:pPr>
            <w:r w:rsidRPr="003D2CA0">
              <w:rPr>
                <w:rFonts w:asciiTheme="minorHAnsi" w:hAnsiTheme="minorHAnsi"/>
                <w:b/>
                <w:sz w:val="22"/>
              </w:rPr>
              <w:t>On behalf of DK</w:t>
            </w:r>
            <w:r>
              <w:rPr>
                <w:rFonts w:asciiTheme="minorHAnsi" w:hAnsiTheme="minorHAnsi"/>
                <w:b/>
                <w:sz w:val="22"/>
              </w:rPr>
              <w:t>SS</w:t>
            </w:r>
            <w:r w:rsidRPr="003D2CA0">
              <w:rPr>
                <w:rFonts w:asciiTheme="minorHAnsi" w:hAnsiTheme="minorHAnsi"/>
                <w:b/>
                <w:sz w:val="22"/>
              </w:rPr>
              <w:t xml:space="preserve"> </w:t>
            </w:r>
          </w:p>
        </w:tc>
      </w:tr>
      <w:tr w:rsidR="009E7739">
        <w:tc>
          <w:tcPr>
            <w:tcW w:w="4621" w:type="dxa"/>
          </w:tcPr>
          <w:p w:rsidR="009E7739" w:rsidRDefault="009E7739" w:rsidP="00370B01">
            <w:pPr>
              <w:rPr>
                <w:rFonts w:asciiTheme="minorHAnsi" w:hAnsiTheme="minorHAnsi"/>
                <w:sz w:val="22"/>
              </w:rPr>
            </w:pPr>
            <w:r>
              <w:rPr>
                <w:rFonts w:asciiTheme="minorHAnsi" w:hAnsiTheme="minorHAnsi"/>
                <w:sz w:val="22"/>
              </w:rPr>
              <w:t>Date:</w:t>
            </w:r>
          </w:p>
          <w:p w:rsidR="009E7739" w:rsidRPr="003D2CA0" w:rsidRDefault="009E7739" w:rsidP="00370B01">
            <w:pPr>
              <w:rPr>
                <w:rFonts w:asciiTheme="minorHAnsi" w:hAnsiTheme="minorHAnsi"/>
                <w:sz w:val="22"/>
              </w:rPr>
            </w:pPr>
          </w:p>
        </w:tc>
        <w:tc>
          <w:tcPr>
            <w:tcW w:w="4621" w:type="dxa"/>
          </w:tcPr>
          <w:p w:rsidR="009E7739" w:rsidRPr="003D2CA0" w:rsidRDefault="009E7739" w:rsidP="00370B01">
            <w:pPr>
              <w:rPr>
                <w:rFonts w:asciiTheme="minorHAnsi" w:hAnsiTheme="minorHAnsi"/>
                <w:sz w:val="22"/>
              </w:rPr>
            </w:pPr>
            <w:r>
              <w:rPr>
                <w:rFonts w:asciiTheme="minorHAnsi" w:hAnsiTheme="minorHAnsi"/>
                <w:sz w:val="22"/>
              </w:rPr>
              <w:t>Date:</w:t>
            </w:r>
          </w:p>
        </w:tc>
      </w:tr>
      <w:tr w:rsidR="009E7739">
        <w:trPr>
          <w:trHeight w:val="1084"/>
        </w:trPr>
        <w:tc>
          <w:tcPr>
            <w:tcW w:w="4621" w:type="dxa"/>
            <w:tcBorders>
              <w:bottom w:val="nil"/>
            </w:tcBorders>
          </w:tcPr>
          <w:p w:rsidR="009E7739" w:rsidRDefault="009E7739" w:rsidP="00370B01">
            <w:pPr>
              <w:rPr>
                <w:rFonts w:asciiTheme="minorHAnsi" w:hAnsiTheme="minorHAnsi"/>
                <w:sz w:val="22"/>
              </w:rPr>
            </w:pPr>
            <w:r>
              <w:rPr>
                <w:rFonts w:asciiTheme="minorHAnsi" w:hAnsiTheme="minorHAnsi"/>
                <w:sz w:val="22"/>
              </w:rPr>
              <w:t>Signature:</w:t>
            </w:r>
          </w:p>
          <w:p w:rsidR="009E7739" w:rsidRDefault="009E7739" w:rsidP="00370B01">
            <w:pPr>
              <w:rPr>
                <w:rFonts w:asciiTheme="minorHAnsi" w:hAnsiTheme="minorHAnsi"/>
                <w:sz w:val="22"/>
              </w:rPr>
            </w:pPr>
          </w:p>
          <w:p w:rsidR="009E7739" w:rsidRDefault="009E7739" w:rsidP="00370B01">
            <w:pPr>
              <w:rPr>
                <w:rFonts w:asciiTheme="minorHAnsi" w:hAnsiTheme="minorHAnsi"/>
                <w:sz w:val="22"/>
              </w:rPr>
            </w:pPr>
          </w:p>
          <w:p w:rsidR="009E7739" w:rsidRDefault="009E7739" w:rsidP="00370B01">
            <w:pPr>
              <w:rPr>
                <w:rFonts w:asciiTheme="minorHAnsi" w:hAnsiTheme="minorHAnsi"/>
                <w:sz w:val="22"/>
              </w:rPr>
            </w:pPr>
          </w:p>
          <w:p w:rsidR="009E7739" w:rsidRPr="003D2CA0" w:rsidRDefault="009E7739" w:rsidP="00370B01">
            <w:pPr>
              <w:rPr>
                <w:rFonts w:asciiTheme="minorHAnsi" w:hAnsiTheme="minorHAnsi"/>
                <w:sz w:val="22"/>
              </w:rPr>
            </w:pPr>
          </w:p>
        </w:tc>
        <w:tc>
          <w:tcPr>
            <w:tcW w:w="4621" w:type="dxa"/>
            <w:tcBorders>
              <w:bottom w:val="nil"/>
            </w:tcBorders>
          </w:tcPr>
          <w:p w:rsidR="009E7739" w:rsidRPr="003D2CA0" w:rsidRDefault="009E7739" w:rsidP="00370B01">
            <w:pPr>
              <w:rPr>
                <w:rFonts w:asciiTheme="minorHAnsi" w:hAnsiTheme="minorHAnsi"/>
                <w:sz w:val="22"/>
              </w:rPr>
            </w:pPr>
            <w:r>
              <w:rPr>
                <w:rFonts w:asciiTheme="minorHAnsi" w:hAnsiTheme="minorHAnsi"/>
                <w:sz w:val="22"/>
              </w:rPr>
              <w:t>Signature:</w:t>
            </w:r>
          </w:p>
        </w:tc>
      </w:tr>
      <w:tr w:rsidR="009E7739">
        <w:tc>
          <w:tcPr>
            <w:tcW w:w="4621" w:type="dxa"/>
          </w:tcPr>
          <w:p w:rsidR="009E7739" w:rsidRDefault="009E7739" w:rsidP="00370B01">
            <w:pPr>
              <w:rPr>
                <w:rFonts w:asciiTheme="minorHAnsi" w:hAnsiTheme="minorHAnsi"/>
                <w:sz w:val="22"/>
              </w:rPr>
            </w:pPr>
            <w:r w:rsidRPr="003D2CA0">
              <w:rPr>
                <w:rFonts w:asciiTheme="minorHAnsi" w:hAnsiTheme="minorHAnsi"/>
                <w:sz w:val="22"/>
              </w:rPr>
              <w:t>Name</w:t>
            </w:r>
            <w:r>
              <w:rPr>
                <w:rFonts w:asciiTheme="minorHAnsi" w:hAnsiTheme="minorHAnsi"/>
                <w:sz w:val="22"/>
              </w:rPr>
              <w:t>:</w:t>
            </w:r>
          </w:p>
          <w:p w:rsidR="009E7739" w:rsidRDefault="009E7739" w:rsidP="00370B01">
            <w:pPr>
              <w:rPr>
                <w:rFonts w:asciiTheme="minorHAnsi" w:hAnsiTheme="minorHAnsi"/>
                <w:sz w:val="22"/>
              </w:rPr>
            </w:pPr>
          </w:p>
          <w:p w:rsidR="009E7739" w:rsidRDefault="009E7739" w:rsidP="00370B01">
            <w:pPr>
              <w:rPr>
                <w:rFonts w:asciiTheme="minorHAnsi" w:hAnsiTheme="minorHAnsi"/>
                <w:sz w:val="22"/>
              </w:rPr>
            </w:pPr>
          </w:p>
          <w:p w:rsidR="009E7739" w:rsidRDefault="009E7739" w:rsidP="00370B01">
            <w:pPr>
              <w:rPr>
                <w:rFonts w:asciiTheme="minorHAnsi" w:hAnsiTheme="minorHAnsi"/>
                <w:sz w:val="22"/>
              </w:rPr>
            </w:pPr>
          </w:p>
          <w:p w:rsidR="009E7739" w:rsidRPr="003D2CA0" w:rsidRDefault="009E7739" w:rsidP="00370B01">
            <w:pPr>
              <w:rPr>
                <w:rFonts w:asciiTheme="minorHAnsi" w:hAnsiTheme="minorHAnsi"/>
                <w:sz w:val="22"/>
              </w:rPr>
            </w:pPr>
          </w:p>
        </w:tc>
        <w:tc>
          <w:tcPr>
            <w:tcW w:w="4621" w:type="dxa"/>
          </w:tcPr>
          <w:p w:rsidR="009E7739" w:rsidRDefault="009E7739" w:rsidP="00370B01">
            <w:pPr>
              <w:rPr>
                <w:rFonts w:asciiTheme="minorHAnsi" w:hAnsiTheme="minorHAnsi"/>
                <w:sz w:val="22"/>
              </w:rPr>
            </w:pPr>
            <w:r>
              <w:rPr>
                <w:rFonts w:asciiTheme="minorHAnsi" w:hAnsiTheme="minorHAnsi"/>
                <w:sz w:val="22"/>
              </w:rPr>
              <w:t>Name:</w:t>
            </w:r>
          </w:p>
          <w:p w:rsidR="009E7739" w:rsidRPr="003D2CA0" w:rsidRDefault="009E7739" w:rsidP="00370B01">
            <w:pPr>
              <w:rPr>
                <w:rFonts w:asciiTheme="minorHAnsi" w:hAnsiTheme="minorHAnsi"/>
                <w:sz w:val="22"/>
              </w:rPr>
            </w:pPr>
          </w:p>
        </w:tc>
        <w:bookmarkStart w:id="0" w:name="_GoBack"/>
        <w:bookmarkEnd w:id="0"/>
      </w:tr>
    </w:tbl>
    <w:p w:rsidR="009E7739" w:rsidRDefault="009E7739" w:rsidP="009E7739">
      <w:pPr>
        <w:pStyle w:val="BodyTextIndent"/>
        <w:ind w:left="0"/>
      </w:pPr>
    </w:p>
    <w:p w:rsidR="003634AB" w:rsidRPr="00013AE1" w:rsidRDefault="003634AB" w:rsidP="0096272B"/>
    <w:sectPr w:rsidR="003634AB" w:rsidRPr="00013AE1" w:rsidSect="00DF3C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789" w:rsidRDefault="00137789" w:rsidP="007B0508">
      <w:pPr>
        <w:spacing w:after="0" w:line="240" w:lineRule="auto"/>
      </w:pPr>
      <w:r>
        <w:separator/>
      </w:r>
    </w:p>
  </w:endnote>
  <w:endnote w:type="continuationSeparator" w:id="0">
    <w:p w:rsidR="00137789" w:rsidRDefault="00137789" w:rsidP="007B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Humanist601BT">
    <w:panose1 w:val="00000000000000000000"/>
    <w:charset w:val="4D"/>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mn-ea">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D9" w:rsidRDefault="00DC3BD9" w:rsidP="00001E6F">
    <w:pPr>
      <w:pStyle w:val="Footer"/>
      <w:framePr w:wrap="around" w:vAnchor="text" w:hAnchor="margin" w:y="1"/>
      <w:rPr>
        <w:rStyle w:val="PageNumber"/>
        <w:rFonts w:asciiTheme="minorHAnsi" w:eastAsiaTheme="minorEastAsia" w:hAnsiTheme="minorHAnsi" w:cstheme="minorBidi"/>
        <w:sz w:val="22"/>
        <w:szCs w:val="22"/>
        <w:lang w:val="en-ZA"/>
      </w:rPr>
    </w:pPr>
    <w:r>
      <w:rPr>
        <w:rStyle w:val="PageNumber"/>
      </w:rPr>
      <w:fldChar w:fldCharType="begin"/>
    </w:r>
    <w:r>
      <w:rPr>
        <w:rStyle w:val="PageNumber"/>
      </w:rPr>
      <w:instrText xml:space="preserve">PAGE  </w:instrText>
    </w:r>
    <w:r>
      <w:rPr>
        <w:rStyle w:val="PageNumber"/>
      </w:rPr>
      <w:fldChar w:fldCharType="end"/>
    </w:r>
  </w:p>
  <w:p w:rsidR="00DC3BD9" w:rsidRDefault="00DC3BD9" w:rsidP="00001E6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4048"/>
      <w:docPartObj>
        <w:docPartGallery w:val="Page Numbers (Bottom of Page)"/>
        <w:docPartUnique/>
      </w:docPartObj>
    </w:sdtPr>
    <w:sdtEndPr>
      <w:rPr>
        <w:spacing w:val="60"/>
      </w:rPr>
    </w:sdtEndPr>
    <w:sdtContent>
      <w:p w:rsidR="00DC3BD9" w:rsidRPr="00866498" w:rsidRDefault="00890A18" w:rsidP="008664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5597" w:rsidRPr="00B45597">
          <w:rPr>
            <w:rFonts w:asciiTheme="minorHAnsi" w:hAnsiTheme="minorHAnsi"/>
            <w:bCs/>
            <w:noProof/>
            <w:sz w:val="22"/>
          </w:rPr>
          <w:t>1</w:t>
        </w:r>
        <w:r>
          <w:rPr>
            <w:rFonts w:asciiTheme="minorHAnsi" w:hAnsiTheme="minorHAnsi"/>
            <w:bCs/>
            <w:noProof/>
            <w:sz w:val="22"/>
          </w:rPr>
          <w:fldChar w:fldCharType="end"/>
        </w:r>
        <w:r w:rsidR="00DC3BD9">
          <w:rPr>
            <w:b/>
            <w:bCs/>
          </w:rPr>
          <w:t xml:space="preserve"> | </w:t>
        </w:r>
        <w:r w:rsidR="00DC3BD9">
          <w:rPr>
            <w:color w:val="808080" w:themeColor="background1" w:themeShade="80"/>
            <w:spacing w:val="60"/>
          </w:rPr>
          <w:t>National Institute for the Deaf (NID)</w:t>
        </w:r>
      </w:p>
    </w:sdtContent>
  </w:sdt>
  <w:p w:rsidR="00DC3BD9" w:rsidRPr="00001E6F" w:rsidRDefault="00137789" w:rsidP="00866498">
    <w:pPr>
      <w:pStyle w:val="Footer"/>
      <w:pBdr>
        <w:top w:val="single" w:sz="4" w:space="1" w:color="auto"/>
      </w:pBdr>
      <w:ind w:firstLine="360"/>
      <w:rPr>
        <w:rFonts w:asciiTheme="minorHAnsi" w:hAnsiTheme="minorHAnsi"/>
        <w:color w:val="595959" w:themeColor="text1" w:themeTint="A6"/>
        <w:sz w:val="22"/>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05pt;margin-top:7.05pt;width:451.2pt;height:31.5pt;z-index:251659264;visibility:visible;mso-height-percent:0;mso-wrap-distance-left:9pt;mso-wrap-distance-top:3.6pt;mso-wrap-distance-right:9pt;mso-wrap-distance-bottom:3.6pt;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" filled="f" stroked="f">
          <v:textbox style="mso-next-textbox:#Text Box 2">
            <w:txbxContent>
              <w:p w:rsidR="001A1BF9" w:rsidRPr="009701F7" w:rsidRDefault="001A1BF9" w:rsidP="001A1BF9">
                <w:pPr>
                  <w:spacing w:line="240" w:lineRule="auto"/>
                  <w:jc w:val="center"/>
                  <w:rPr>
                    <w:sz w:val="16"/>
                  </w:rPr>
                </w:pPr>
                <w:r w:rsidRPr="009701F7">
                  <w:rPr>
                    <w:sz w:val="16"/>
                  </w:rPr>
                  <w:t xml:space="preserve">Except where otherwise noted, this content is licensed under a Creative Commons Attribution 3.0 Licence </w:t>
                </w:r>
                <w:r>
                  <w:rPr>
                    <w:noProof/>
                    <w:lang w:val="en-US" w:eastAsia="en-US"/>
                  </w:rPr>
                  <w:drawing>
                    <wp:inline distT="0" distB="0" distL="0" distR="0" wp14:anchorId="2FA09197" wp14:editId="5571A0F2">
                      <wp:extent cx="527685" cy="98425"/>
                      <wp:effectExtent l="0" t="0" r="5715"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3" name="Picture 23">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7685" cy="98425"/>
                              </a:xfrm>
                              <a:prstGeom prst="rect">
                                <a:avLst/>
                              </a:prstGeom>
                            </pic:spPr>
                          </pic:pic>
                        </a:graphicData>
                      </a:graphic>
                    </wp:inline>
                  </w:drawing>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789" w:rsidRDefault="00137789" w:rsidP="007B0508">
      <w:pPr>
        <w:spacing w:after="0" w:line="240" w:lineRule="auto"/>
      </w:pPr>
      <w:r>
        <w:separator/>
      </w:r>
    </w:p>
  </w:footnote>
  <w:footnote w:type="continuationSeparator" w:id="0">
    <w:p w:rsidR="00137789" w:rsidRDefault="00137789" w:rsidP="007B0508">
      <w:pPr>
        <w:spacing w:after="0" w:line="240" w:lineRule="auto"/>
      </w:pPr>
      <w:r>
        <w:continuationSeparator/>
      </w:r>
    </w:p>
  </w:footnote>
  <w:footnote w:id="1">
    <w:p w:rsidR="00DC3BD9" w:rsidRPr="00FF70DA" w:rsidRDefault="00DC3BD9" w:rsidP="00FF70DA">
      <w:pPr>
        <w:pStyle w:val="Footer"/>
        <w:jc w:val="left"/>
        <w:rPr>
          <w:rFonts w:ascii="Garamond" w:hAnsi="Garamond"/>
          <w:sz w:val="20"/>
          <w:lang w:val="en-US"/>
        </w:rPr>
      </w:pPr>
      <w:r w:rsidRPr="00FF70DA">
        <w:rPr>
          <w:rStyle w:val="FootnoteReference"/>
          <w:rFonts w:ascii="Garamond" w:hAnsi="Garamond"/>
          <w:sz w:val="20"/>
        </w:rPr>
        <w:footnoteRef/>
      </w:r>
      <w:r w:rsidRPr="00FF70DA">
        <w:rPr>
          <w:rFonts w:ascii="Garamond" w:hAnsi="Garamond"/>
          <w:sz w:val="20"/>
        </w:rPr>
        <w:t xml:space="preserve"> </w:t>
      </w:r>
      <w:r w:rsidRPr="00FF70DA">
        <w:rPr>
          <w:rFonts w:ascii="Garamond" w:hAnsi="Garamond"/>
          <w:sz w:val="20"/>
          <w:shd w:val="clear" w:color="auto" w:fill="FFFFFF"/>
        </w:rPr>
        <w:t>Swanwick, R., &amp; Watson, L. (2005). Literacy in the homes of young deaf children: Common and distinct features of spoken language and sign bilingual environments.</w:t>
      </w:r>
      <w:r w:rsidRPr="00FF70DA">
        <w:rPr>
          <w:rStyle w:val="apple-converted-space"/>
          <w:rFonts w:ascii="Garamond" w:eastAsiaTheme="majorEastAsia" w:hAnsi="Garamond" w:cs="Arial"/>
          <w:color w:val="222222"/>
          <w:sz w:val="20"/>
          <w:shd w:val="clear" w:color="auto" w:fill="FFFFFF"/>
        </w:rPr>
        <w:t> </w:t>
      </w:r>
      <w:r w:rsidRPr="00FF70DA">
        <w:rPr>
          <w:rFonts w:ascii="Garamond" w:hAnsi="Garamond"/>
          <w:i/>
          <w:iCs/>
          <w:sz w:val="20"/>
          <w:shd w:val="clear" w:color="auto" w:fill="FFFFFF"/>
        </w:rPr>
        <w:t>Journal of Early Childhood Literacy</w:t>
      </w:r>
      <w:r w:rsidRPr="00FF70DA">
        <w:rPr>
          <w:rFonts w:ascii="Garamond" w:hAnsi="Garamond"/>
          <w:sz w:val="20"/>
          <w:shd w:val="clear" w:color="auto" w:fill="FFFFFF"/>
        </w:rPr>
        <w:t>,</w:t>
      </w:r>
      <w:r w:rsidRPr="00FF70DA">
        <w:rPr>
          <w:rStyle w:val="apple-converted-space"/>
          <w:rFonts w:ascii="Garamond" w:eastAsiaTheme="majorEastAsia" w:hAnsi="Garamond" w:cs="Arial"/>
          <w:color w:val="222222"/>
          <w:sz w:val="20"/>
          <w:shd w:val="clear" w:color="auto" w:fill="FFFFFF"/>
        </w:rPr>
        <w:t> </w:t>
      </w:r>
      <w:r w:rsidRPr="00FF70DA">
        <w:rPr>
          <w:rFonts w:ascii="Garamond" w:hAnsi="Garamond"/>
          <w:i/>
          <w:iCs/>
          <w:sz w:val="20"/>
          <w:shd w:val="clear" w:color="auto" w:fill="FFFFFF"/>
        </w:rPr>
        <w:t>5</w:t>
      </w:r>
      <w:r w:rsidRPr="00FF70DA">
        <w:rPr>
          <w:rFonts w:ascii="Garamond" w:hAnsi="Garamond"/>
          <w:sz w:val="20"/>
          <w:shd w:val="clear" w:color="auto" w:fill="FFFFFF"/>
        </w:rPr>
        <w:t>(1), 53-78.</w:t>
      </w:r>
    </w:p>
  </w:footnote>
  <w:footnote w:id="2">
    <w:p w:rsidR="00DC3BD9" w:rsidRPr="0096272B" w:rsidRDefault="00DC3BD9">
      <w:pPr>
        <w:pStyle w:val="FootnoteText"/>
      </w:pPr>
      <w:r>
        <w:rPr>
          <w:rStyle w:val="FootnoteReference"/>
        </w:rPr>
        <w:footnoteRef/>
      </w:r>
      <w:r>
        <w:t xml:space="preserve"> </w:t>
      </w:r>
      <w:r w:rsidRPr="00252BFB">
        <w:rPr>
          <w:lang w:val="en-GB" w:eastAsia="en-US"/>
        </w:rPr>
        <w:t xml:space="preserve">Department of Higher Education and Training (DHET). 2013. </w:t>
      </w:r>
      <w:r w:rsidRPr="00252BFB">
        <w:rPr>
          <w:i/>
          <w:lang w:val="en-GB" w:eastAsia="en-US"/>
        </w:rPr>
        <w:t>White Paper for Post-School Education and Training: Building an Expanded, Effective and Integrated Post-school System</w:t>
      </w:r>
      <w:r w:rsidRPr="00252BFB">
        <w:rPr>
          <w:lang w:val="en-GB" w:eastAsia="en-US"/>
        </w:rPr>
        <w:t>, Labour Market Page 8.</w:t>
      </w:r>
    </w:p>
  </w:footnote>
  <w:footnote w:id="3">
    <w:p w:rsidR="00DC3BD9" w:rsidRDefault="00DC3BD9">
      <w:pPr>
        <w:pStyle w:val="FootnoteText"/>
      </w:pPr>
      <w:r>
        <w:rPr>
          <w:rStyle w:val="FootnoteReference"/>
        </w:rPr>
        <w:footnoteRef/>
      </w:r>
      <w:r>
        <w:t xml:space="preserve"> Ibid VII Community Colleges Pages 20 - 25</w:t>
      </w:r>
    </w:p>
  </w:footnote>
  <w:footnote w:id="4">
    <w:p w:rsidR="00DC3BD9" w:rsidRDefault="00DC3BD9" w:rsidP="00BF2F1E">
      <w:pPr>
        <w:pStyle w:val="FootnoteText"/>
      </w:pPr>
      <w:r>
        <w:rPr>
          <w:rStyle w:val="FootnoteReference"/>
          <w:rFonts w:eastAsiaTheme="majorEastAsia"/>
        </w:rPr>
        <w:footnoteRef/>
      </w:r>
      <w:r>
        <w:t xml:space="preserve"> Programme Concept Questionnaire, dated 03 March 2014. </w:t>
      </w:r>
    </w:p>
  </w:footnote>
  <w:footnote w:id="5">
    <w:p w:rsidR="00DC3BD9" w:rsidRPr="000863E3" w:rsidRDefault="00DC3BD9" w:rsidP="00604FBC">
      <w:pPr>
        <w:pStyle w:val="FootnoteText"/>
        <w:rPr>
          <w:rFonts w:asciiTheme="minorHAnsi" w:eastAsiaTheme="minorEastAsia" w:hAnsiTheme="minorHAnsi" w:cstheme="minorBidi"/>
          <w:sz w:val="22"/>
          <w:szCs w:val="22"/>
          <w:vertAlign w:val="superscript"/>
        </w:rPr>
      </w:pPr>
      <w:r>
        <w:rPr>
          <w:rStyle w:val="FootnoteReference"/>
        </w:rPr>
        <w:footnoteRef/>
      </w:r>
      <w:r w:rsidRPr="00144A4E">
        <w:rPr>
          <w:rStyle w:val="FootnoteReference"/>
        </w:rPr>
        <w:t xml:space="preserve"> </w:t>
      </w:r>
      <w:r w:rsidRPr="000863E3">
        <w:rPr>
          <w:rStyle w:val="FootnoteReference"/>
          <w:vertAlign w:val="baseline"/>
        </w:rPr>
        <w:t>Rowntree, D. The Role of Workshops in Staff Development, in C. Latchem and F. Lockwood (eds.) Staff Development in Open and Flexible Learning, Routledge. 1998.</w:t>
      </w:r>
      <w:r w:rsidRPr="00144A4E">
        <w:rPr>
          <w:rStyle w:val="FootnoteReference"/>
        </w:rPr>
        <w:t xml:space="preserve"> </w:t>
      </w:r>
    </w:p>
  </w:footnote>
  <w:footnote w:id="6">
    <w:p w:rsidR="00DC3BD9" w:rsidRDefault="00DC3BD9">
      <w:pPr>
        <w:pStyle w:val="FootnoteText"/>
      </w:pPr>
      <w:r>
        <w:rPr>
          <w:rStyle w:val="FootnoteReference"/>
        </w:rPr>
        <w:footnoteRef/>
      </w:r>
      <w:r>
        <w:t xml:space="preserve"> </w:t>
      </w:r>
      <w:r w:rsidRPr="00252BFB">
        <w:rPr>
          <w:lang w:val="en-GB" w:eastAsia="en-US"/>
        </w:rPr>
        <w:t xml:space="preserve">Department of Higher Education and Training (DHET). 2013. </w:t>
      </w:r>
      <w:r w:rsidRPr="00252BFB">
        <w:rPr>
          <w:i/>
          <w:lang w:val="en-GB" w:eastAsia="en-US"/>
        </w:rPr>
        <w:t>White Paper for Post-School Education and Training: Building an Expanded, Effective and Integrated Post-school System</w:t>
      </w:r>
      <w:r w:rsidRPr="00252BFB">
        <w:rPr>
          <w:lang w:val="en-GB" w:eastAsia="en-US"/>
        </w:rPr>
        <w:t xml:space="preserve">, </w:t>
      </w:r>
      <w:r>
        <w:rPr>
          <w:lang w:val="en-GB" w:eastAsia="en-US"/>
        </w:rPr>
        <w:t>Open Learning through diverse modes of provision, XV Pages 48 - 54</w:t>
      </w:r>
    </w:p>
  </w:footnote>
  <w:footnote w:id="7">
    <w:p w:rsidR="00DC3BD9" w:rsidRPr="007E2235" w:rsidRDefault="00DC3BD9">
      <w:pPr>
        <w:pStyle w:val="FootnoteText"/>
        <w:rPr>
          <w:sz w:val="20"/>
        </w:rPr>
      </w:pPr>
      <w:r w:rsidRPr="007E2235">
        <w:rPr>
          <w:rStyle w:val="FootnoteReference"/>
          <w:sz w:val="20"/>
        </w:rPr>
        <w:footnoteRef/>
      </w:r>
      <w:r w:rsidRPr="007E2235">
        <w:rPr>
          <w:sz w:val="20"/>
        </w:rPr>
        <w:t xml:space="preserve"> The module titles are placeholders and may change in the course of developing the modules. </w:t>
      </w:r>
    </w:p>
  </w:footnote>
  <w:footnote w:id="8">
    <w:p w:rsidR="00DC3BD9" w:rsidRDefault="00DC3BD9">
      <w:pPr>
        <w:pStyle w:val="FootnoteText"/>
      </w:pPr>
      <w:r>
        <w:rPr>
          <w:rStyle w:val="FootnoteReference"/>
        </w:rPr>
        <w:footnoteRef/>
      </w:r>
      <w:r>
        <w:t xml:space="preserve"> Ibid Addressing disability – Deaf accessible Pages 44 - 46</w:t>
      </w:r>
    </w:p>
  </w:footnote>
  <w:footnote w:id="9">
    <w:p w:rsidR="00DC3BD9" w:rsidRPr="00CF2A03" w:rsidRDefault="00DC3BD9" w:rsidP="001E0427">
      <w:pPr>
        <w:pStyle w:val="FootnoteText"/>
        <w:jc w:val="left"/>
      </w:pPr>
      <w:r>
        <w:rPr>
          <w:rStyle w:val="FootnoteReference"/>
        </w:rPr>
        <w:footnoteRef/>
      </w:r>
      <w:r>
        <w:t xml:space="preserve"> </w:t>
      </w:r>
      <w:r w:rsidRPr="00CF2A03">
        <w:rPr>
          <w:rFonts w:cs="Arial"/>
          <w:color w:val="424242"/>
          <w:szCs w:val="26"/>
          <w:lang w:val="en-US"/>
        </w:rPr>
        <w:t xml:space="preserve">A </w:t>
      </w:r>
      <w:r w:rsidRPr="00CF2A03">
        <w:rPr>
          <w:rFonts w:cs="Arial"/>
          <w:bCs/>
          <w:color w:val="424242"/>
          <w:szCs w:val="26"/>
          <w:lang w:val="en-US"/>
        </w:rPr>
        <w:t>proctored exam</w:t>
      </w:r>
      <w:r w:rsidRPr="00CF2A03">
        <w:rPr>
          <w:rFonts w:cs="Arial"/>
          <w:color w:val="424242"/>
          <w:szCs w:val="26"/>
          <w:lang w:val="en-US"/>
        </w:rPr>
        <w:t xml:space="preserve"> is one that is overseen by an impartial individual (called a proctor) who monitors or supervises a student while he or she is taking an exam.</w:t>
      </w:r>
    </w:p>
  </w:footnote>
  <w:footnote w:id="10">
    <w:p w:rsidR="00DC3BD9" w:rsidRDefault="00DC3BD9">
      <w:pPr>
        <w:pStyle w:val="FootnoteText"/>
      </w:pPr>
      <w:r>
        <w:rPr>
          <w:rStyle w:val="FootnoteReference"/>
        </w:rPr>
        <w:footnoteRef/>
      </w:r>
      <w:r>
        <w:t xml:space="preserve"> Ibid Pages 20 – 24, 45 – 54 and 56 - 68</w:t>
      </w:r>
    </w:p>
  </w:footnote>
  <w:footnote w:id="11">
    <w:p w:rsidR="00DC3BD9" w:rsidRPr="007E2235" w:rsidRDefault="00DC3BD9" w:rsidP="004C62C3">
      <w:pPr>
        <w:ind w:left="720" w:hanging="720"/>
        <w:jc w:val="both"/>
        <w:rPr>
          <w:sz w:val="20"/>
          <w:szCs w:val="20"/>
          <w:lang w:val="en-US"/>
        </w:rPr>
      </w:pPr>
      <w:r w:rsidRPr="007E2235">
        <w:rPr>
          <w:rStyle w:val="FootnoteReference"/>
          <w:sz w:val="20"/>
        </w:rPr>
        <w:footnoteRef/>
      </w:r>
      <w:r w:rsidRPr="007E2235">
        <w:rPr>
          <w:sz w:val="20"/>
        </w:rPr>
        <w:t xml:space="preserve"> </w:t>
      </w:r>
      <w:r w:rsidRPr="007E2235">
        <w:rPr>
          <w:rStyle w:val="FootnoteReference"/>
          <w:rFonts w:ascii="Garamond" w:eastAsia="Times New Roman" w:hAnsi="Garamond" w:cs="Times New Roman"/>
          <w:sz w:val="20"/>
          <w:szCs w:val="16"/>
        </w:rPr>
        <w:t>National Teacher Institute (NTI). c.2009. Teaching Practice Manual (PDE 207). Undated document emailed to Saide by Prince Olude Ademola O, 25 May 2009.</w:t>
      </w:r>
    </w:p>
    <w:p w:rsidR="00DC3BD9" w:rsidRPr="008E3107" w:rsidRDefault="00DC3BD9" w:rsidP="004C62C3">
      <w:pPr>
        <w:pStyle w:val="FootnoteText"/>
      </w:pPr>
    </w:p>
  </w:footnote>
  <w:footnote w:id="12">
    <w:p w:rsidR="00DC3BD9" w:rsidRDefault="00DC3BD9">
      <w:pPr>
        <w:pStyle w:val="FootnoteText"/>
      </w:pPr>
      <w:r>
        <w:rPr>
          <w:rStyle w:val="FootnoteReference"/>
        </w:rPr>
        <w:footnoteRef/>
      </w:r>
      <w:r>
        <w:t xml:space="preserve"> Designing and Delivering Distance Education: Quality Criteria and Case Studies, Nadeosa Publication,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D9" w:rsidRPr="00404B7A" w:rsidRDefault="001A1BF9" w:rsidP="00001E6F">
    <w:pPr>
      <w:pStyle w:val="Header"/>
      <w:jc w:val="center"/>
      <w:rPr>
        <w:color w:val="595959" w:themeColor="text1" w:themeTint="A6"/>
      </w:rPr>
    </w:pPr>
    <w:r>
      <w:rPr>
        <w:color w:val="595959" w:themeColor="text1" w:themeTint="A6"/>
      </w:rPr>
      <w:t>DK</w:t>
    </w:r>
    <w:r w:rsidR="00DC3BD9">
      <w:rPr>
        <w:color w:val="595959" w:themeColor="text1" w:themeTint="A6"/>
      </w:rPr>
      <w:t xml:space="preserve"> &amp; Associates </w:t>
    </w:r>
    <w:r w:rsidR="00DC3BD9">
      <w:t>|</w:t>
    </w:r>
    <w:r w:rsidR="00DC3BD9" w:rsidRPr="00001E6F">
      <w:rPr>
        <w:color w:val="595959" w:themeColor="text1" w:themeTint="A6"/>
      </w:rPr>
      <w:t xml:space="preserve"> </w:t>
    </w:r>
    <w:r>
      <w:rPr>
        <w:color w:val="595959" w:themeColor="text1" w:themeTint="A6"/>
      </w:rPr>
      <w:t>June</w:t>
    </w:r>
    <w:r w:rsidR="00DC3BD9">
      <w:rPr>
        <w:color w:val="595959" w:themeColor="text1" w:themeTint="A6"/>
      </w:rPr>
      <w:t xml:space="preserve"> 2014</w:t>
    </w:r>
  </w:p>
  <w:p w:rsidR="00B45597" w:rsidRDefault="00B45597" w:rsidP="00B45597">
    <w:pPr>
      <w:pStyle w:val="Header"/>
      <w:jc w:val="center"/>
      <w:rPr>
        <w:rFonts w:ascii="Calibri" w:eastAsia="Times New Roman" w:hAnsi="Calibri"/>
      </w:rPr>
    </w:pPr>
    <w:r w:rsidRPr="00B45597">
      <w:rPr>
        <w:rFonts w:ascii="Calibri" w:eastAsia="Times New Roman" w:hAnsi="Calibri"/>
      </w:rPr>
      <w:t>Higher Certificate Programme for Educators of the Deaf and Persons with Hearing Loss</w:t>
    </w:r>
    <w:r w:rsidR="001A1BF9">
      <w:rPr>
        <w:rFonts w:ascii="Calibri" w:eastAsia="Times New Roman" w:hAnsi="Calibri"/>
      </w:rPr>
      <w:t xml:space="preserve"> </w:t>
    </w:r>
  </w:p>
  <w:p w:rsidR="00DC3BD9" w:rsidRPr="007B55A5" w:rsidRDefault="001A1BF9" w:rsidP="00B45597">
    <w:pPr>
      <w:pStyle w:val="Header"/>
      <w:jc w:val="center"/>
      <w:rPr>
        <w:color w:val="A6A6A6" w:themeColor="background1" w:themeShade="A6"/>
        <w:sz w:val="24"/>
      </w:rPr>
    </w:pPr>
    <w:r>
      <w:rPr>
        <w:rFonts w:ascii="Calibri" w:eastAsia="Times New Roman" w:hAnsi="Calibri"/>
      </w:rPr>
      <w:t>Curriculum Framework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0538"/>
    <w:multiLevelType w:val="hybridMultilevel"/>
    <w:tmpl w:val="BEC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B12D9"/>
    <w:multiLevelType w:val="hybridMultilevel"/>
    <w:tmpl w:val="9B800218"/>
    <w:lvl w:ilvl="0" w:tplc="0000000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A4035"/>
    <w:multiLevelType w:val="hybridMultilevel"/>
    <w:tmpl w:val="DBBC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B3A06"/>
    <w:multiLevelType w:val="multilevel"/>
    <w:tmpl w:val="FA9E3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E84111"/>
    <w:multiLevelType w:val="hybridMultilevel"/>
    <w:tmpl w:val="FA9E31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EB10B1"/>
    <w:multiLevelType w:val="multilevel"/>
    <w:tmpl w:val="D42AD4AC"/>
    <w:lvl w:ilvl="0">
      <w:start w:val="2"/>
      <w:numFmt w:val="decimal"/>
      <w:lvlText w:val="%1."/>
      <w:lvlJc w:val="left"/>
      <w:pPr>
        <w:ind w:left="360" w:hanging="360"/>
      </w:pPr>
      <w:rPr>
        <w:rFonts w:hint="default"/>
      </w:rPr>
    </w:lvl>
    <w:lvl w:ilvl="1">
      <w:start w:val="4"/>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
    <w:nsid w:val="129B7777"/>
    <w:multiLevelType w:val="multilevel"/>
    <w:tmpl w:val="E7E4BD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3B74D6"/>
    <w:multiLevelType w:val="hybridMultilevel"/>
    <w:tmpl w:val="62BC3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863879"/>
    <w:multiLevelType w:val="hybridMultilevel"/>
    <w:tmpl w:val="92A40DB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207C5A12"/>
    <w:multiLevelType w:val="hybridMultilevel"/>
    <w:tmpl w:val="4154C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0C0F55"/>
    <w:multiLevelType w:val="hybridMultilevel"/>
    <w:tmpl w:val="C8B69360"/>
    <w:lvl w:ilvl="0" w:tplc="04090003">
      <w:start w:val="1"/>
      <w:numFmt w:val="bullet"/>
      <w:lvlText w:val="o"/>
      <w:lvlJc w:val="left"/>
      <w:pPr>
        <w:ind w:left="717" w:hanging="360"/>
      </w:pPr>
      <w:rPr>
        <w:rFonts w:ascii="Courier New" w:hAnsi="Courier New" w:hint="default"/>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24E81C55"/>
    <w:multiLevelType w:val="hybridMultilevel"/>
    <w:tmpl w:val="2856D7D6"/>
    <w:lvl w:ilvl="0" w:tplc="4E6029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5BA050F"/>
    <w:multiLevelType w:val="hybridMultilevel"/>
    <w:tmpl w:val="83643756"/>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52DCB"/>
    <w:multiLevelType w:val="multilevel"/>
    <w:tmpl w:val="9B8002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BFF1844"/>
    <w:multiLevelType w:val="multilevel"/>
    <w:tmpl w:val="20001F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38457C"/>
    <w:multiLevelType w:val="hybridMultilevel"/>
    <w:tmpl w:val="ACFCC1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30CB1140"/>
    <w:multiLevelType w:val="hybridMultilevel"/>
    <w:tmpl w:val="FDECD26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5507A25"/>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Arial"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Arial" w:hint="default"/>
      </w:rPr>
    </w:lvl>
    <w:lvl w:ilvl="8">
      <w:start w:val="1"/>
      <w:numFmt w:val="bullet"/>
      <w:lvlText w:val=""/>
      <w:lvlJc w:val="left"/>
      <w:pPr>
        <w:ind w:left="6525" w:hanging="360"/>
      </w:pPr>
      <w:rPr>
        <w:rFonts w:ascii="Wingdings" w:hAnsi="Wingdings" w:hint="default"/>
      </w:rPr>
    </w:lvl>
  </w:abstractNum>
  <w:abstractNum w:abstractNumId="18">
    <w:nsid w:val="355709ED"/>
    <w:multiLevelType w:val="hybridMultilevel"/>
    <w:tmpl w:val="08BC5792"/>
    <w:lvl w:ilvl="0" w:tplc="BD50157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CF4B00"/>
    <w:multiLevelType w:val="hybridMultilevel"/>
    <w:tmpl w:val="DDE4E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F0C66"/>
    <w:multiLevelType w:val="hybridMultilevel"/>
    <w:tmpl w:val="DFD6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EB5BB3"/>
    <w:multiLevelType w:val="hybridMultilevel"/>
    <w:tmpl w:val="316C56B4"/>
    <w:lvl w:ilvl="0" w:tplc="C22C875A">
      <w:start w:val="1"/>
      <w:numFmt w:val="bullet"/>
      <w:lvlText w:val="•"/>
      <w:lvlJc w:val="left"/>
      <w:pPr>
        <w:tabs>
          <w:tab w:val="num" w:pos="720"/>
        </w:tabs>
        <w:ind w:left="720" w:hanging="360"/>
      </w:pPr>
      <w:rPr>
        <w:rFonts w:ascii="Arial" w:hAnsi="Arial" w:hint="default"/>
      </w:rPr>
    </w:lvl>
    <w:lvl w:ilvl="1" w:tplc="0108E206" w:tentative="1">
      <w:start w:val="1"/>
      <w:numFmt w:val="bullet"/>
      <w:lvlText w:val="•"/>
      <w:lvlJc w:val="left"/>
      <w:pPr>
        <w:tabs>
          <w:tab w:val="num" w:pos="1440"/>
        </w:tabs>
        <w:ind w:left="1440" w:hanging="360"/>
      </w:pPr>
      <w:rPr>
        <w:rFonts w:ascii="Arial" w:hAnsi="Arial" w:hint="default"/>
      </w:rPr>
    </w:lvl>
    <w:lvl w:ilvl="2" w:tplc="AE7A304C" w:tentative="1">
      <w:start w:val="1"/>
      <w:numFmt w:val="bullet"/>
      <w:lvlText w:val="•"/>
      <w:lvlJc w:val="left"/>
      <w:pPr>
        <w:tabs>
          <w:tab w:val="num" w:pos="2160"/>
        </w:tabs>
        <w:ind w:left="2160" w:hanging="360"/>
      </w:pPr>
      <w:rPr>
        <w:rFonts w:ascii="Arial" w:hAnsi="Arial" w:hint="default"/>
      </w:rPr>
    </w:lvl>
    <w:lvl w:ilvl="3" w:tplc="3E1C2BD4" w:tentative="1">
      <w:start w:val="1"/>
      <w:numFmt w:val="bullet"/>
      <w:lvlText w:val="•"/>
      <w:lvlJc w:val="left"/>
      <w:pPr>
        <w:tabs>
          <w:tab w:val="num" w:pos="2880"/>
        </w:tabs>
        <w:ind w:left="2880" w:hanging="360"/>
      </w:pPr>
      <w:rPr>
        <w:rFonts w:ascii="Arial" w:hAnsi="Arial" w:hint="default"/>
      </w:rPr>
    </w:lvl>
    <w:lvl w:ilvl="4" w:tplc="B5286012" w:tentative="1">
      <w:start w:val="1"/>
      <w:numFmt w:val="bullet"/>
      <w:lvlText w:val="•"/>
      <w:lvlJc w:val="left"/>
      <w:pPr>
        <w:tabs>
          <w:tab w:val="num" w:pos="3600"/>
        </w:tabs>
        <w:ind w:left="3600" w:hanging="360"/>
      </w:pPr>
      <w:rPr>
        <w:rFonts w:ascii="Arial" w:hAnsi="Arial" w:hint="default"/>
      </w:rPr>
    </w:lvl>
    <w:lvl w:ilvl="5" w:tplc="FC5044AA" w:tentative="1">
      <w:start w:val="1"/>
      <w:numFmt w:val="bullet"/>
      <w:lvlText w:val="•"/>
      <w:lvlJc w:val="left"/>
      <w:pPr>
        <w:tabs>
          <w:tab w:val="num" w:pos="4320"/>
        </w:tabs>
        <w:ind w:left="4320" w:hanging="360"/>
      </w:pPr>
      <w:rPr>
        <w:rFonts w:ascii="Arial" w:hAnsi="Arial" w:hint="default"/>
      </w:rPr>
    </w:lvl>
    <w:lvl w:ilvl="6" w:tplc="9D847AC0" w:tentative="1">
      <w:start w:val="1"/>
      <w:numFmt w:val="bullet"/>
      <w:lvlText w:val="•"/>
      <w:lvlJc w:val="left"/>
      <w:pPr>
        <w:tabs>
          <w:tab w:val="num" w:pos="5040"/>
        </w:tabs>
        <w:ind w:left="5040" w:hanging="360"/>
      </w:pPr>
      <w:rPr>
        <w:rFonts w:ascii="Arial" w:hAnsi="Arial" w:hint="default"/>
      </w:rPr>
    </w:lvl>
    <w:lvl w:ilvl="7" w:tplc="80D87A4C" w:tentative="1">
      <w:start w:val="1"/>
      <w:numFmt w:val="bullet"/>
      <w:lvlText w:val="•"/>
      <w:lvlJc w:val="left"/>
      <w:pPr>
        <w:tabs>
          <w:tab w:val="num" w:pos="5760"/>
        </w:tabs>
        <w:ind w:left="5760" w:hanging="360"/>
      </w:pPr>
      <w:rPr>
        <w:rFonts w:ascii="Arial" w:hAnsi="Arial" w:hint="default"/>
      </w:rPr>
    </w:lvl>
    <w:lvl w:ilvl="8" w:tplc="38A8E700" w:tentative="1">
      <w:start w:val="1"/>
      <w:numFmt w:val="bullet"/>
      <w:lvlText w:val="•"/>
      <w:lvlJc w:val="left"/>
      <w:pPr>
        <w:tabs>
          <w:tab w:val="num" w:pos="6480"/>
        </w:tabs>
        <w:ind w:left="6480" w:hanging="360"/>
      </w:pPr>
      <w:rPr>
        <w:rFonts w:ascii="Arial" w:hAnsi="Arial" w:hint="default"/>
      </w:rPr>
    </w:lvl>
  </w:abstractNum>
  <w:abstractNum w:abstractNumId="22">
    <w:nsid w:val="3DB62918"/>
    <w:multiLevelType w:val="multilevel"/>
    <w:tmpl w:val="522E187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F6D6FD1"/>
    <w:multiLevelType w:val="hybridMultilevel"/>
    <w:tmpl w:val="0F8EF8C0"/>
    <w:lvl w:ilvl="0" w:tplc="4E602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747EE3"/>
    <w:multiLevelType w:val="hybridMultilevel"/>
    <w:tmpl w:val="41C6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BB26FE"/>
    <w:multiLevelType w:val="hybridMultilevel"/>
    <w:tmpl w:val="3F4A73F6"/>
    <w:lvl w:ilvl="0" w:tplc="4E602980">
      <w:start w:val="1"/>
      <w:numFmt w:val="bullet"/>
      <w:lvlText w:val=""/>
      <w:lvlJc w:val="left"/>
      <w:pPr>
        <w:ind w:left="767" w:hanging="360"/>
      </w:pPr>
      <w:rPr>
        <w:rFonts w:ascii="Symbol" w:hAnsi="Symbol" w:hint="default"/>
      </w:rPr>
    </w:lvl>
    <w:lvl w:ilvl="1" w:tplc="04090003" w:tentative="1">
      <w:start w:val="1"/>
      <w:numFmt w:val="bullet"/>
      <w:lvlText w:val="o"/>
      <w:lvlJc w:val="left"/>
      <w:pPr>
        <w:ind w:left="1847" w:hanging="360"/>
      </w:pPr>
      <w:rPr>
        <w:rFonts w:ascii="Courier New" w:hAnsi="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26">
    <w:nsid w:val="4B93099E"/>
    <w:multiLevelType w:val="hybridMultilevel"/>
    <w:tmpl w:val="3B0CBAC8"/>
    <w:lvl w:ilvl="0" w:tplc="4E602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BA2299"/>
    <w:multiLevelType w:val="multilevel"/>
    <w:tmpl w:val="DDE4ED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E765797"/>
    <w:multiLevelType w:val="multilevel"/>
    <w:tmpl w:val="0C9C2A0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BF039E"/>
    <w:multiLevelType w:val="multilevel"/>
    <w:tmpl w:val="F4FAC8C4"/>
    <w:lvl w:ilvl="0">
      <w:start w:val="9"/>
      <w:numFmt w:val="decimal"/>
      <w:lvlText w:val="%1"/>
      <w:lvlJc w:val="left"/>
      <w:pPr>
        <w:ind w:left="400" w:hanging="400"/>
      </w:pPr>
      <w:rPr>
        <w:rFonts w:hint="default"/>
      </w:rPr>
    </w:lvl>
    <w:lvl w:ilvl="1">
      <w:start w:val="1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5CC440E"/>
    <w:multiLevelType w:val="multilevel"/>
    <w:tmpl w:val="D0D62E1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asciiTheme="minorHAnsi" w:hAnsiTheme="minorHAnsi" w:hint="default"/>
        <w:i w:val="0"/>
        <w:sz w:val="20"/>
      </w:rPr>
    </w:lvl>
    <w:lvl w:ilvl="2">
      <w:start w:val="1"/>
      <w:numFmt w:val="decimal"/>
      <w:isLgl/>
      <w:lvlText w:val="%1.%2.%3"/>
      <w:lvlJc w:val="left"/>
      <w:pPr>
        <w:ind w:left="720" w:hanging="720"/>
      </w:pPr>
      <w:rPr>
        <w:rFonts w:ascii="ZapfHumanist601BT" w:hAnsi="ZapfHumanist601BT" w:hint="default"/>
        <w:sz w:val="22"/>
      </w:rPr>
    </w:lvl>
    <w:lvl w:ilvl="3">
      <w:start w:val="1"/>
      <w:numFmt w:val="decimal"/>
      <w:isLgl/>
      <w:lvlText w:val="%1.%2.%3.%4"/>
      <w:lvlJc w:val="left"/>
      <w:pPr>
        <w:ind w:left="720" w:hanging="720"/>
      </w:pPr>
      <w:rPr>
        <w:rFonts w:ascii="ZapfHumanist601BT" w:hAnsi="ZapfHumanist601BT" w:hint="default"/>
        <w:sz w:val="22"/>
      </w:rPr>
    </w:lvl>
    <w:lvl w:ilvl="4">
      <w:start w:val="1"/>
      <w:numFmt w:val="decimal"/>
      <w:isLgl/>
      <w:lvlText w:val="%1.%2.%3.%4.%5"/>
      <w:lvlJc w:val="left"/>
      <w:pPr>
        <w:ind w:left="720" w:hanging="720"/>
      </w:pPr>
      <w:rPr>
        <w:rFonts w:ascii="ZapfHumanist601BT" w:hAnsi="ZapfHumanist601BT" w:hint="default"/>
        <w:sz w:val="22"/>
      </w:rPr>
    </w:lvl>
    <w:lvl w:ilvl="5">
      <w:start w:val="1"/>
      <w:numFmt w:val="decimal"/>
      <w:isLgl/>
      <w:lvlText w:val="%1.%2.%3.%4.%5.%6"/>
      <w:lvlJc w:val="left"/>
      <w:pPr>
        <w:ind w:left="1080" w:hanging="1080"/>
      </w:pPr>
      <w:rPr>
        <w:rFonts w:ascii="ZapfHumanist601BT" w:hAnsi="ZapfHumanist601BT" w:hint="default"/>
        <w:sz w:val="22"/>
      </w:rPr>
    </w:lvl>
    <w:lvl w:ilvl="6">
      <w:start w:val="1"/>
      <w:numFmt w:val="decimal"/>
      <w:isLgl/>
      <w:lvlText w:val="%1.%2.%3.%4.%5.%6.%7"/>
      <w:lvlJc w:val="left"/>
      <w:pPr>
        <w:ind w:left="1080" w:hanging="1080"/>
      </w:pPr>
      <w:rPr>
        <w:rFonts w:ascii="ZapfHumanist601BT" w:hAnsi="ZapfHumanist601BT" w:hint="default"/>
        <w:sz w:val="22"/>
      </w:rPr>
    </w:lvl>
    <w:lvl w:ilvl="7">
      <w:start w:val="1"/>
      <w:numFmt w:val="decimal"/>
      <w:isLgl/>
      <w:lvlText w:val="%1.%2.%3.%4.%5.%6.%7.%8"/>
      <w:lvlJc w:val="left"/>
      <w:pPr>
        <w:ind w:left="1440" w:hanging="1440"/>
      </w:pPr>
      <w:rPr>
        <w:rFonts w:ascii="ZapfHumanist601BT" w:hAnsi="ZapfHumanist601BT" w:hint="default"/>
        <w:sz w:val="22"/>
      </w:rPr>
    </w:lvl>
    <w:lvl w:ilvl="8">
      <w:start w:val="1"/>
      <w:numFmt w:val="decimal"/>
      <w:isLgl/>
      <w:lvlText w:val="%1.%2.%3.%4.%5.%6.%7.%8.%9"/>
      <w:lvlJc w:val="left"/>
      <w:pPr>
        <w:ind w:left="1440" w:hanging="1440"/>
      </w:pPr>
      <w:rPr>
        <w:rFonts w:ascii="ZapfHumanist601BT" w:hAnsi="ZapfHumanist601BT" w:hint="default"/>
        <w:sz w:val="22"/>
      </w:rPr>
    </w:lvl>
  </w:abstractNum>
  <w:abstractNum w:abstractNumId="31">
    <w:nsid w:val="58B023FA"/>
    <w:multiLevelType w:val="hybridMultilevel"/>
    <w:tmpl w:val="E8A810D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2">
    <w:nsid w:val="5AF65E1F"/>
    <w:multiLevelType w:val="hybridMultilevel"/>
    <w:tmpl w:val="1856E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E6320"/>
    <w:multiLevelType w:val="hybridMultilevel"/>
    <w:tmpl w:val="A44A50D0"/>
    <w:lvl w:ilvl="0" w:tplc="B7782DD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1724C8"/>
    <w:multiLevelType w:val="hybridMultilevel"/>
    <w:tmpl w:val="99CE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F52382"/>
    <w:multiLevelType w:val="hybridMultilevel"/>
    <w:tmpl w:val="E6BE8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FA1DAD"/>
    <w:multiLevelType w:val="hybridMultilevel"/>
    <w:tmpl w:val="3A9A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96666F"/>
    <w:multiLevelType w:val="hybridMultilevel"/>
    <w:tmpl w:val="0DF83722"/>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D6826"/>
    <w:multiLevelType w:val="hybridMultilevel"/>
    <w:tmpl w:val="435A3934"/>
    <w:lvl w:ilvl="0" w:tplc="7994C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92743A"/>
    <w:multiLevelType w:val="hybridMultilevel"/>
    <w:tmpl w:val="48AEBB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66E13"/>
    <w:multiLevelType w:val="multilevel"/>
    <w:tmpl w:val="39B65A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5E24E0"/>
    <w:multiLevelType w:val="hybridMultilevel"/>
    <w:tmpl w:val="A6D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7104B"/>
    <w:multiLevelType w:val="hybridMultilevel"/>
    <w:tmpl w:val="7A08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1"/>
  </w:num>
  <w:num w:numId="3">
    <w:abstractNumId w:val="38"/>
  </w:num>
  <w:num w:numId="4">
    <w:abstractNumId w:val="23"/>
  </w:num>
  <w:num w:numId="5">
    <w:abstractNumId w:val="37"/>
  </w:num>
  <w:num w:numId="6">
    <w:abstractNumId w:val="25"/>
  </w:num>
  <w:num w:numId="7">
    <w:abstractNumId w:val="12"/>
  </w:num>
  <w:num w:numId="8">
    <w:abstractNumId w:val="19"/>
  </w:num>
  <w:num w:numId="9">
    <w:abstractNumId w:val="16"/>
  </w:num>
  <w:num w:numId="10">
    <w:abstractNumId w:val="4"/>
  </w:num>
  <w:num w:numId="11">
    <w:abstractNumId w:val="21"/>
  </w:num>
  <w:num w:numId="12">
    <w:abstractNumId w:val="24"/>
  </w:num>
  <w:num w:numId="13">
    <w:abstractNumId w:val="8"/>
  </w:num>
  <w:num w:numId="14">
    <w:abstractNumId w:val="2"/>
  </w:num>
  <w:num w:numId="15">
    <w:abstractNumId w:val="15"/>
  </w:num>
  <w:num w:numId="16">
    <w:abstractNumId w:val="30"/>
  </w:num>
  <w:num w:numId="17">
    <w:abstractNumId w:val="20"/>
  </w:num>
  <w:num w:numId="18">
    <w:abstractNumId w:val="14"/>
  </w:num>
  <w:num w:numId="19">
    <w:abstractNumId w:val="40"/>
  </w:num>
  <w:num w:numId="20">
    <w:abstractNumId w:val="28"/>
  </w:num>
  <w:num w:numId="21">
    <w:abstractNumId w:val="22"/>
  </w:num>
  <w:num w:numId="22">
    <w:abstractNumId w:val="32"/>
  </w:num>
  <w:num w:numId="23">
    <w:abstractNumId w:val="29"/>
  </w:num>
  <w:num w:numId="24">
    <w:abstractNumId w:val="6"/>
  </w:num>
  <w:num w:numId="25">
    <w:abstractNumId w:val="35"/>
  </w:num>
  <w:num w:numId="26">
    <w:abstractNumId w:val="31"/>
  </w:num>
  <w:num w:numId="27">
    <w:abstractNumId w:val="9"/>
  </w:num>
  <w:num w:numId="28">
    <w:abstractNumId w:val="33"/>
  </w:num>
  <w:num w:numId="29">
    <w:abstractNumId w:val="0"/>
  </w:num>
  <w:num w:numId="30">
    <w:abstractNumId w:val="1"/>
  </w:num>
  <w:num w:numId="31">
    <w:abstractNumId w:val="13"/>
  </w:num>
  <w:num w:numId="32">
    <w:abstractNumId w:val="5"/>
  </w:num>
  <w:num w:numId="33">
    <w:abstractNumId w:val="3"/>
  </w:num>
  <w:num w:numId="34">
    <w:abstractNumId w:val="18"/>
  </w:num>
  <w:num w:numId="35">
    <w:abstractNumId w:val="36"/>
  </w:num>
  <w:num w:numId="36">
    <w:abstractNumId w:val="34"/>
  </w:num>
  <w:num w:numId="37">
    <w:abstractNumId w:val="7"/>
  </w:num>
  <w:num w:numId="38">
    <w:abstractNumId w:val="42"/>
  </w:num>
  <w:num w:numId="39">
    <w:abstractNumId w:val="17"/>
  </w:num>
  <w:num w:numId="40">
    <w:abstractNumId w:val="10"/>
  </w:num>
  <w:num w:numId="41">
    <w:abstractNumId w:val="41"/>
  </w:num>
  <w:num w:numId="42">
    <w:abstractNumId w:val="2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97AD5"/>
    <w:rsid w:val="0000029C"/>
    <w:rsid w:val="00000927"/>
    <w:rsid w:val="00000D46"/>
    <w:rsid w:val="0000154A"/>
    <w:rsid w:val="00001E6F"/>
    <w:rsid w:val="00005A5D"/>
    <w:rsid w:val="000065FA"/>
    <w:rsid w:val="00006C34"/>
    <w:rsid w:val="00011EBF"/>
    <w:rsid w:val="000134FD"/>
    <w:rsid w:val="00013AE1"/>
    <w:rsid w:val="00017300"/>
    <w:rsid w:val="00017555"/>
    <w:rsid w:val="000176DA"/>
    <w:rsid w:val="00020976"/>
    <w:rsid w:val="000238A7"/>
    <w:rsid w:val="00024F95"/>
    <w:rsid w:val="0003032E"/>
    <w:rsid w:val="00031BA2"/>
    <w:rsid w:val="00033EFA"/>
    <w:rsid w:val="000354FC"/>
    <w:rsid w:val="00035D5B"/>
    <w:rsid w:val="00040164"/>
    <w:rsid w:val="00042DFC"/>
    <w:rsid w:val="000432D2"/>
    <w:rsid w:val="0004385C"/>
    <w:rsid w:val="00044317"/>
    <w:rsid w:val="00047EF7"/>
    <w:rsid w:val="000531A3"/>
    <w:rsid w:val="000533B0"/>
    <w:rsid w:val="00053FB9"/>
    <w:rsid w:val="00054989"/>
    <w:rsid w:val="00054F73"/>
    <w:rsid w:val="000569B6"/>
    <w:rsid w:val="00056B43"/>
    <w:rsid w:val="0006150E"/>
    <w:rsid w:val="00062B4E"/>
    <w:rsid w:val="000631C3"/>
    <w:rsid w:val="00065634"/>
    <w:rsid w:val="00066801"/>
    <w:rsid w:val="00066A75"/>
    <w:rsid w:val="00066AFC"/>
    <w:rsid w:val="0006758D"/>
    <w:rsid w:val="00067DCF"/>
    <w:rsid w:val="000700FC"/>
    <w:rsid w:val="00071339"/>
    <w:rsid w:val="00071EB5"/>
    <w:rsid w:val="00074609"/>
    <w:rsid w:val="0007555A"/>
    <w:rsid w:val="000764F2"/>
    <w:rsid w:val="00080D0B"/>
    <w:rsid w:val="00083B4F"/>
    <w:rsid w:val="00086356"/>
    <w:rsid w:val="000863E3"/>
    <w:rsid w:val="00086493"/>
    <w:rsid w:val="00090814"/>
    <w:rsid w:val="00092BC0"/>
    <w:rsid w:val="0009466A"/>
    <w:rsid w:val="000A16A9"/>
    <w:rsid w:val="000A34AA"/>
    <w:rsid w:val="000B0629"/>
    <w:rsid w:val="000B2768"/>
    <w:rsid w:val="000B673A"/>
    <w:rsid w:val="000C22CE"/>
    <w:rsid w:val="000C302F"/>
    <w:rsid w:val="000C3E29"/>
    <w:rsid w:val="000C5621"/>
    <w:rsid w:val="000C585A"/>
    <w:rsid w:val="000C589D"/>
    <w:rsid w:val="000D19AF"/>
    <w:rsid w:val="000D415E"/>
    <w:rsid w:val="000D512D"/>
    <w:rsid w:val="000E27B0"/>
    <w:rsid w:val="000E5F61"/>
    <w:rsid w:val="000F0CB5"/>
    <w:rsid w:val="000F12E6"/>
    <w:rsid w:val="001043EB"/>
    <w:rsid w:val="00107BD6"/>
    <w:rsid w:val="001111DA"/>
    <w:rsid w:val="00111C14"/>
    <w:rsid w:val="00121E3A"/>
    <w:rsid w:val="00124AED"/>
    <w:rsid w:val="00124EBA"/>
    <w:rsid w:val="00125196"/>
    <w:rsid w:val="0012745B"/>
    <w:rsid w:val="001355E4"/>
    <w:rsid w:val="001369FD"/>
    <w:rsid w:val="00137789"/>
    <w:rsid w:val="00140DB2"/>
    <w:rsid w:val="0014393D"/>
    <w:rsid w:val="00144A4E"/>
    <w:rsid w:val="001451E0"/>
    <w:rsid w:val="00145CB7"/>
    <w:rsid w:val="001466F3"/>
    <w:rsid w:val="00150BEA"/>
    <w:rsid w:val="00155130"/>
    <w:rsid w:val="00155D60"/>
    <w:rsid w:val="00155D67"/>
    <w:rsid w:val="00157109"/>
    <w:rsid w:val="001571E9"/>
    <w:rsid w:val="001575F8"/>
    <w:rsid w:val="00157990"/>
    <w:rsid w:val="001601A4"/>
    <w:rsid w:val="00173CCA"/>
    <w:rsid w:val="00174293"/>
    <w:rsid w:val="001744C9"/>
    <w:rsid w:val="0017755C"/>
    <w:rsid w:val="00180CFA"/>
    <w:rsid w:val="00180E9E"/>
    <w:rsid w:val="00181F61"/>
    <w:rsid w:val="0018632C"/>
    <w:rsid w:val="0018652D"/>
    <w:rsid w:val="00194E2F"/>
    <w:rsid w:val="00196693"/>
    <w:rsid w:val="00196CED"/>
    <w:rsid w:val="001A157E"/>
    <w:rsid w:val="001A1BF9"/>
    <w:rsid w:val="001A1CE3"/>
    <w:rsid w:val="001A25E4"/>
    <w:rsid w:val="001B01E5"/>
    <w:rsid w:val="001B1D25"/>
    <w:rsid w:val="001B36CD"/>
    <w:rsid w:val="001C1C54"/>
    <w:rsid w:val="001D05A0"/>
    <w:rsid w:val="001D29C8"/>
    <w:rsid w:val="001D3289"/>
    <w:rsid w:val="001D37D5"/>
    <w:rsid w:val="001D58AD"/>
    <w:rsid w:val="001D6D41"/>
    <w:rsid w:val="001D7BCB"/>
    <w:rsid w:val="001E0427"/>
    <w:rsid w:val="001E1233"/>
    <w:rsid w:val="001E1573"/>
    <w:rsid w:val="001E2F04"/>
    <w:rsid w:val="001E4B84"/>
    <w:rsid w:val="001E5727"/>
    <w:rsid w:val="001E5EAE"/>
    <w:rsid w:val="001F2E65"/>
    <w:rsid w:val="001F7BC8"/>
    <w:rsid w:val="00200105"/>
    <w:rsid w:val="002006A7"/>
    <w:rsid w:val="00200C34"/>
    <w:rsid w:val="00206C5A"/>
    <w:rsid w:val="0020718E"/>
    <w:rsid w:val="002105A4"/>
    <w:rsid w:val="00220A94"/>
    <w:rsid w:val="00223A4B"/>
    <w:rsid w:val="00226CF8"/>
    <w:rsid w:val="0022764B"/>
    <w:rsid w:val="00231EB9"/>
    <w:rsid w:val="0023498D"/>
    <w:rsid w:val="00235C97"/>
    <w:rsid w:val="00236BA0"/>
    <w:rsid w:val="00246808"/>
    <w:rsid w:val="002478E1"/>
    <w:rsid w:val="0025118B"/>
    <w:rsid w:val="00252576"/>
    <w:rsid w:val="00252BFB"/>
    <w:rsid w:val="002557E2"/>
    <w:rsid w:val="0025620F"/>
    <w:rsid w:val="002610A1"/>
    <w:rsid w:val="00262574"/>
    <w:rsid w:val="00265EA8"/>
    <w:rsid w:val="00272513"/>
    <w:rsid w:val="002736BF"/>
    <w:rsid w:val="002739DA"/>
    <w:rsid w:val="002751A6"/>
    <w:rsid w:val="00275950"/>
    <w:rsid w:val="00275D92"/>
    <w:rsid w:val="002768CB"/>
    <w:rsid w:val="00282ACD"/>
    <w:rsid w:val="00285CE3"/>
    <w:rsid w:val="00285F45"/>
    <w:rsid w:val="002873FA"/>
    <w:rsid w:val="0028795D"/>
    <w:rsid w:val="00291462"/>
    <w:rsid w:val="0029296B"/>
    <w:rsid w:val="00292DFC"/>
    <w:rsid w:val="002933FB"/>
    <w:rsid w:val="00294936"/>
    <w:rsid w:val="002961B0"/>
    <w:rsid w:val="00296823"/>
    <w:rsid w:val="002969B3"/>
    <w:rsid w:val="00297C02"/>
    <w:rsid w:val="00297CF0"/>
    <w:rsid w:val="002A3FE0"/>
    <w:rsid w:val="002A6BD5"/>
    <w:rsid w:val="002B30FD"/>
    <w:rsid w:val="002B7ED5"/>
    <w:rsid w:val="002C16D0"/>
    <w:rsid w:val="002C1C98"/>
    <w:rsid w:val="002D1580"/>
    <w:rsid w:val="002D4B90"/>
    <w:rsid w:val="002D5433"/>
    <w:rsid w:val="002D54AF"/>
    <w:rsid w:val="002E0275"/>
    <w:rsid w:val="002E0760"/>
    <w:rsid w:val="002E3E9D"/>
    <w:rsid w:val="002E4D97"/>
    <w:rsid w:val="002E52BD"/>
    <w:rsid w:val="002E5904"/>
    <w:rsid w:val="002F06E0"/>
    <w:rsid w:val="002F19FA"/>
    <w:rsid w:val="002F457E"/>
    <w:rsid w:val="002F69B4"/>
    <w:rsid w:val="002F78EB"/>
    <w:rsid w:val="002F7ECB"/>
    <w:rsid w:val="00302B36"/>
    <w:rsid w:val="00310B5F"/>
    <w:rsid w:val="00312632"/>
    <w:rsid w:val="003154F5"/>
    <w:rsid w:val="0031723B"/>
    <w:rsid w:val="003232B1"/>
    <w:rsid w:val="00323D31"/>
    <w:rsid w:val="003250CC"/>
    <w:rsid w:val="003251FC"/>
    <w:rsid w:val="003266F6"/>
    <w:rsid w:val="003275A2"/>
    <w:rsid w:val="00327FA6"/>
    <w:rsid w:val="00330607"/>
    <w:rsid w:val="00332095"/>
    <w:rsid w:val="00333982"/>
    <w:rsid w:val="00334440"/>
    <w:rsid w:val="003350EC"/>
    <w:rsid w:val="00340795"/>
    <w:rsid w:val="003407A9"/>
    <w:rsid w:val="0034333A"/>
    <w:rsid w:val="00343764"/>
    <w:rsid w:val="003439DC"/>
    <w:rsid w:val="003446DA"/>
    <w:rsid w:val="003446FB"/>
    <w:rsid w:val="00344B5B"/>
    <w:rsid w:val="00346A1B"/>
    <w:rsid w:val="003477E5"/>
    <w:rsid w:val="0035023E"/>
    <w:rsid w:val="00352627"/>
    <w:rsid w:val="00353C0D"/>
    <w:rsid w:val="00353E29"/>
    <w:rsid w:val="00356987"/>
    <w:rsid w:val="00357566"/>
    <w:rsid w:val="00361ACF"/>
    <w:rsid w:val="003634AB"/>
    <w:rsid w:val="00363D08"/>
    <w:rsid w:val="003659F9"/>
    <w:rsid w:val="00370117"/>
    <w:rsid w:val="00370B01"/>
    <w:rsid w:val="003745DC"/>
    <w:rsid w:val="00377354"/>
    <w:rsid w:val="003817C6"/>
    <w:rsid w:val="00382378"/>
    <w:rsid w:val="003823FA"/>
    <w:rsid w:val="00382DB4"/>
    <w:rsid w:val="003866D2"/>
    <w:rsid w:val="003874F6"/>
    <w:rsid w:val="0039336E"/>
    <w:rsid w:val="00396A45"/>
    <w:rsid w:val="003A156E"/>
    <w:rsid w:val="003A29EA"/>
    <w:rsid w:val="003A2EEC"/>
    <w:rsid w:val="003A2FF2"/>
    <w:rsid w:val="003B0758"/>
    <w:rsid w:val="003B0AAC"/>
    <w:rsid w:val="003B1D0C"/>
    <w:rsid w:val="003B46C0"/>
    <w:rsid w:val="003B4739"/>
    <w:rsid w:val="003B49E6"/>
    <w:rsid w:val="003B560D"/>
    <w:rsid w:val="003B75AE"/>
    <w:rsid w:val="003B7A52"/>
    <w:rsid w:val="003C6CE2"/>
    <w:rsid w:val="003C7C66"/>
    <w:rsid w:val="003C7EA0"/>
    <w:rsid w:val="003D05E9"/>
    <w:rsid w:val="003D4E36"/>
    <w:rsid w:val="003E3159"/>
    <w:rsid w:val="003E349C"/>
    <w:rsid w:val="003E48D2"/>
    <w:rsid w:val="003E4C30"/>
    <w:rsid w:val="003E669F"/>
    <w:rsid w:val="003E792F"/>
    <w:rsid w:val="003E7F9A"/>
    <w:rsid w:val="003F1254"/>
    <w:rsid w:val="003F24DD"/>
    <w:rsid w:val="003F27BC"/>
    <w:rsid w:val="003F303D"/>
    <w:rsid w:val="003F5E43"/>
    <w:rsid w:val="003F6F32"/>
    <w:rsid w:val="004017DD"/>
    <w:rsid w:val="0040233A"/>
    <w:rsid w:val="0040269A"/>
    <w:rsid w:val="00403968"/>
    <w:rsid w:val="00403F70"/>
    <w:rsid w:val="004044E3"/>
    <w:rsid w:val="00404B7A"/>
    <w:rsid w:val="0041058B"/>
    <w:rsid w:val="00412D84"/>
    <w:rsid w:val="00416E0A"/>
    <w:rsid w:val="004205D3"/>
    <w:rsid w:val="0043109A"/>
    <w:rsid w:val="0043585D"/>
    <w:rsid w:val="00442830"/>
    <w:rsid w:val="00447DC8"/>
    <w:rsid w:val="004510BB"/>
    <w:rsid w:val="004511D9"/>
    <w:rsid w:val="00451CED"/>
    <w:rsid w:val="00457789"/>
    <w:rsid w:val="00463D60"/>
    <w:rsid w:val="00465217"/>
    <w:rsid w:val="00471A9C"/>
    <w:rsid w:val="00473E81"/>
    <w:rsid w:val="004746C3"/>
    <w:rsid w:val="00474D52"/>
    <w:rsid w:val="00474D9D"/>
    <w:rsid w:val="0047520B"/>
    <w:rsid w:val="004753B2"/>
    <w:rsid w:val="004757ED"/>
    <w:rsid w:val="00476287"/>
    <w:rsid w:val="0047718C"/>
    <w:rsid w:val="0048161C"/>
    <w:rsid w:val="0048438E"/>
    <w:rsid w:val="00485649"/>
    <w:rsid w:val="00485B0A"/>
    <w:rsid w:val="00486AFA"/>
    <w:rsid w:val="00486F29"/>
    <w:rsid w:val="004909EF"/>
    <w:rsid w:val="00490F83"/>
    <w:rsid w:val="00493BCF"/>
    <w:rsid w:val="004968F6"/>
    <w:rsid w:val="00497AD5"/>
    <w:rsid w:val="004A0876"/>
    <w:rsid w:val="004A3550"/>
    <w:rsid w:val="004A35AA"/>
    <w:rsid w:val="004A4923"/>
    <w:rsid w:val="004A61E6"/>
    <w:rsid w:val="004B2CAB"/>
    <w:rsid w:val="004B6271"/>
    <w:rsid w:val="004C1CCD"/>
    <w:rsid w:val="004C5A9E"/>
    <w:rsid w:val="004C62C3"/>
    <w:rsid w:val="004C6F75"/>
    <w:rsid w:val="004C7F18"/>
    <w:rsid w:val="004D088F"/>
    <w:rsid w:val="004E1E8A"/>
    <w:rsid w:val="004E6659"/>
    <w:rsid w:val="004F426E"/>
    <w:rsid w:val="004F42E9"/>
    <w:rsid w:val="004F4802"/>
    <w:rsid w:val="004F6A0E"/>
    <w:rsid w:val="004F7716"/>
    <w:rsid w:val="004F7DC3"/>
    <w:rsid w:val="00500380"/>
    <w:rsid w:val="00500FA9"/>
    <w:rsid w:val="00501F9A"/>
    <w:rsid w:val="00502628"/>
    <w:rsid w:val="00503F7E"/>
    <w:rsid w:val="005054C8"/>
    <w:rsid w:val="00506F7C"/>
    <w:rsid w:val="00507072"/>
    <w:rsid w:val="005106F1"/>
    <w:rsid w:val="005112B4"/>
    <w:rsid w:val="005120FE"/>
    <w:rsid w:val="00512A50"/>
    <w:rsid w:val="00515557"/>
    <w:rsid w:val="00517AAC"/>
    <w:rsid w:val="00520D2B"/>
    <w:rsid w:val="005305B6"/>
    <w:rsid w:val="00530F3E"/>
    <w:rsid w:val="005311A4"/>
    <w:rsid w:val="00532E07"/>
    <w:rsid w:val="00533447"/>
    <w:rsid w:val="00536954"/>
    <w:rsid w:val="00537904"/>
    <w:rsid w:val="0053791C"/>
    <w:rsid w:val="00543939"/>
    <w:rsid w:val="00546EBF"/>
    <w:rsid w:val="0055082F"/>
    <w:rsid w:val="00551EA1"/>
    <w:rsid w:val="00552232"/>
    <w:rsid w:val="0055277E"/>
    <w:rsid w:val="0055383E"/>
    <w:rsid w:val="00554331"/>
    <w:rsid w:val="00554962"/>
    <w:rsid w:val="005561C3"/>
    <w:rsid w:val="00556212"/>
    <w:rsid w:val="00556F21"/>
    <w:rsid w:val="00567050"/>
    <w:rsid w:val="00571D4F"/>
    <w:rsid w:val="00572090"/>
    <w:rsid w:val="0057460A"/>
    <w:rsid w:val="00575FC2"/>
    <w:rsid w:val="00581A0A"/>
    <w:rsid w:val="0058575E"/>
    <w:rsid w:val="005902BF"/>
    <w:rsid w:val="005915C9"/>
    <w:rsid w:val="00592345"/>
    <w:rsid w:val="005924BA"/>
    <w:rsid w:val="00593B91"/>
    <w:rsid w:val="0059405F"/>
    <w:rsid w:val="0059417E"/>
    <w:rsid w:val="00594212"/>
    <w:rsid w:val="00594F02"/>
    <w:rsid w:val="005958DA"/>
    <w:rsid w:val="00597725"/>
    <w:rsid w:val="00597924"/>
    <w:rsid w:val="00597A19"/>
    <w:rsid w:val="005A05C3"/>
    <w:rsid w:val="005A0BCB"/>
    <w:rsid w:val="005A0DDF"/>
    <w:rsid w:val="005A2406"/>
    <w:rsid w:val="005A299C"/>
    <w:rsid w:val="005A29F7"/>
    <w:rsid w:val="005A57B9"/>
    <w:rsid w:val="005A64E8"/>
    <w:rsid w:val="005A7E57"/>
    <w:rsid w:val="005C0CDF"/>
    <w:rsid w:val="005C1EB2"/>
    <w:rsid w:val="005C4779"/>
    <w:rsid w:val="005C5692"/>
    <w:rsid w:val="005D502C"/>
    <w:rsid w:val="005D5047"/>
    <w:rsid w:val="005E322D"/>
    <w:rsid w:val="005E4218"/>
    <w:rsid w:val="005E4DFA"/>
    <w:rsid w:val="005E61F3"/>
    <w:rsid w:val="005F0E98"/>
    <w:rsid w:val="005F347A"/>
    <w:rsid w:val="005F52FF"/>
    <w:rsid w:val="005F6F62"/>
    <w:rsid w:val="005F7D3C"/>
    <w:rsid w:val="006020C0"/>
    <w:rsid w:val="00603147"/>
    <w:rsid w:val="006033AB"/>
    <w:rsid w:val="00604FBC"/>
    <w:rsid w:val="00605B5F"/>
    <w:rsid w:val="006112F0"/>
    <w:rsid w:val="006134B4"/>
    <w:rsid w:val="00614E1B"/>
    <w:rsid w:val="0061533D"/>
    <w:rsid w:val="006230E1"/>
    <w:rsid w:val="00625E3B"/>
    <w:rsid w:val="00632EDE"/>
    <w:rsid w:val="00636FB7"/>
    <w:rsid w:val="00637B52"/>
    <w:rsid w:val="006418E2"/>
    <w:rsid w:val="00642403"/>
    <w:rsid w:val="0064287A"/>
    <w:rsid w:val="00644034"/>
    <w:rsid w:val="006443DD"/>
    <w:rsid w:val="00645360"/>
    <w:rsid w:val="00645A92"/>
    <w:rsid w:val="00647827"/>
    <w:rsid w:val="006509DC"/>
    <w:rsid w:val="00652BD8"/>
    <w:rsid w:val="00653601"/>
    <w:rsid w:val="006552B9"/>
    <w:rsid w:val="0065568E"/>
    <w:rsid w:val="006557D8"/>
    <w:rsid w:val="00655EBF"/>
    <w:rsid w:val="00655FDE"/>
    <w:rsid w:val="0066013A"/>
    <w:rsid w:val="00660AFC"/>
    <w:rsid w:val="00660FA0"/>
    <w:rsid w:val="00662634"/>
    <w:rsid w:val="00670134"/>
    <w:rsid w:val="0067183F"/>
    <w:rsid w:val="00673F78"/>
    <w:rsid w:val="0067400B"/>
    <w:rsid w:val="0067418B"/>
    <w:rsid w:val="0067748D"/>
    <w:rsid w:val="00680F4C"/>
    <w:rsid w:val="006815F1"/>
    <w:rsid w:val="006872EB"/>
    <w:rsid w:val="006935EE"/>
    <w:rsid w:val="006939AD"/>
    <w:rsid w:val="0069439F"/>
    <w:rsid w:val="00695B45"/>
    <w:rsid w:val="00696540"/>
    <w:rsid w:val="00697E1D"/>
    <w:rsid w:val="006A3FF1"/>
    <w:rsid w:val="006A487A"/>
    <w:rsid w:val="006B04C8"/>
    <w:rsid w:val="006B1FB8"/>
    <w:rsid w:val="006B27E0"/>
    <w:rsid w:val="006B6871"/>
    <w:rsid w:val="006B7A47"/>
    <w:rsid w:val="006D1280"/>
    <w:rsid w:val="006D2FAE"/>
    <w:rsid w:val="006D51B1"/>
    <w:rsid w:val="006D6726"/>
    <w:rsid w:val="006D710A"/>
    <w:rsid w:val="006E0FD2"/>
    <w:rsid w:val="006E1DB2"/>
    <w:rsid w:val="006E7BDC"/>
    <w:rsid w:val="006E7E38"/>
    <w:rsid w:val="006F3A5A"/>
    <w:rsid w:val="006F47CF"/>
    <w:rsid w:val="006F52E8"/>
    <w:rsid w:val="0070278A"/>
    <w:rsid w:val="00706006"/>
    <w:rsid w:val="00706850"/>
    <w:rsid w:val="00713F1E"/>
    <w:rsid w:val="007200D5"/>
    <w:rsid w:val="00727DE7"/>
    <w:rsid w:val="00731EF6"/>
    <w:rsid w:val="0073448A"/>
    <w:rsid w:val="00737115"/>
    <w:rsid w:val="00737516"/>
    <w:rsid w:val="00740156"/>
    <w:rsid w:val="007404D7"/>
    <w:rsid w:val="0074496E"/>
    <w:rsid w:val="0074779A"/>
    <w:rsid w:val="007479CE"/>
    <w:rsid w:val="00750A79"/>
    <w:rsid w:val="00751412"/>
    <w:rsid w:val="00754E7C"/>
    <w:rsid w:val="0076247A"/>
    <w:rsid w:val="00762EA2"/>
    <w:rsid w:val="00764C52"/>
    <w:rsid w:val="0076590C"/>
    <w:rsid w:val="007663B5"/>
    <w:rsid w:val="007666AB"/>
    <w:rsid w:val="007730C5"/>
    <w:rsid w:val="0077411D"/>
    <w:rsid w:val="00775E68"/>
    <w:rsid w:val="00777282"/>
    <w:rsid w:val="00781893"/>
    <w:rsid w:val="007833D8"/>
    <w:rsid w:val="00783D25"/>
    <w:rsid w:val="00784FD4"/>
    <w:rsid w:val="00785C71"/>
    <w:rsid w:val="00787EBB"/>
    <w:rsid w:val="007916E8"/>
    <w:rsid w:val="007927C4"/>
    <w:rsid w:val="007933D1"/>
    <w:rsid w:val="00793B9B"/>
    <w:rsid w:val="007952BC"/>
    <w:rsid w:val="00795742"/>
    <w:rsid w:val="007A079E"/>
    <w:rsid w:val="007A3410"/>
    <w:rsid w:val="007A4A41"/>
    <w:rsid w:val="007B0508"/>
    <w:rsid w:val="007B55A5"/>
    <w:rsid w:val="007C1587"/>
    <w:rsid w:val="007C3766"/>
    <w:rsid w:val="007C3F84"/>
    <w:rsid w:val="007C5598"/>
    <w:rsid w:val="007C5665"/>
    <w:rsid w:val="007D0853"/>
    <w:rsid w:val="007D1BBF"/>
    <w:rsid w:val="007D24B9"/>
    <w:rsid w:val="007D625A"/>
    <w:rsid w:val="007E0F47"/>
    <w:rsid w:val="007E2235"/>
    <w:rsid w:val="007E3FD3"/>
    <w:rsid w:val="007E408D"/>
    <w:rsid w:val="007E4A0D"/>
    <w:rsid w:val="007E77AC"/>
    <w:rsid w:val="007E7894"/>
    <w:rsid w:val="007E7F52"/>
    <w:rsid w:val="007F0200"/>
    <w:rsid w:val="007F0F8C"/>
    <w:rsid w:val="007F158C"/>
    <w:rsid w:val="007F1A4D"/>
    <w:rsid w:val="007F3F5F"/>
    <w:rsid w:val="007F4349"/>
    <w:rsid w:val="007F4DE4"/>
    <w:rsid w:val="007F6E84"/>
    <w:rsid w:val="00803DD1"/>
    <w:rsid w:val="00806DB9"/>
    <w:rsid w:val="00810378"/>
    <w:rsid w:val="00810A74"/>
    <w:rsid w:val="008129EE"/>
    <w:rsid w:val="008155D4"/>
    <w:rsid w:val="008160DF"/>
    <w:rsid w:val="008229D0"/>
    <w:rsid w:val="00825E57"/>
    <w:rsid w:val="00830826"/>
    <w:rsid w:val="00831596"/>
    <w:rsid w:val="0083495B"/>
    <w:rsid w:val="00834F2D"/>
    <w:rsid w:val="00836515"/>
    <w:rsid w:val="008420EC"/>
    <w:rsid w:val="00842D14"/>
    <w:rsid w:val="008442C9"/>
    <w:rsid w:val="0084445D"/>
    <w:rsid w:val="008453A2"/>
    <w:rsid w:val="0085473D"/>
    <w:rsid w:val="00854D89"/>
    <w:rsid w:val="0086039F"/>
    <w:rsid w:val="00860E21"/>
    <w:rsid w:val="00861473"/>
    <w:rsid w:val="0086175B"/>
    <w:rsid w:val="00862738"/>
    <w:rsid w:val="00862EFB"/>
    <w:rsid w:val="00863718"/>
    <w:rsid w:val="00864B54"/>
    <w:rsid w:val="008652CC"/>
    <w:rsid w:val="0086562C"/>
    <w:rsid w:val="0086596E"/>
    <w:rsid w:val="00866498"/>
    <w:rsid w:val="008674A7"/>
    <w:rsid w:val="008676AB"/>
    <w:rsid w:val="00872E86"/>
    <w:rsid w:val="00873192"/>
    <w:rsid w:val="00874B42"/>
    <w:rsid w:val="00876055"/>
    <w:rsid w:val="008760D2"/>
    <w:rsid w:val="00876905"/>
    <w:rsid w:val="008823E5"/>
    <w:rsid w:val="00886197"/>
    <w:rsid w:val="00890A18"/>
    <w:rsid w:val="008926E5"/>
    <w:rsid w:val="0089318B"/>
    <w:rsid w:val="00894AE1"/>
    <w:rsid w:val="00895566"/>
    <w:rsid w:val="0089704F"/>
    <w:rsid w:val="008A08A7"/>
    <w:rsid w:val="008A1276"/>
    <w:rsid w:val="008A6114"/>
    <w:rsid w:val="008A7910"/>
    <w:rsid w:val="008A7C33"/>
    <w:rsid w:val="008B153A"/>
    <w:rsid w:val="008B241D"/>
    <w:rsid w:val="008B41EC"/>
    <w:rsid w:val="008C01CB"/>
    <w:rsid w:val="008D06C7"/>
    <w:rsid w:val="008D5BED"/>
    <w:rsid w:val="008D63D5"/>
    <w:rsid w:val="008D68EA"/>
    <w:rsid w:val="008D776A"/>
    <w:rsid w:val="008D799F"/>
    <w:rsid w:val="008E522F"/>
    <w:rsid w:val="008F01F1"/>
    <w:rsid w:val="008F1725"/>
    <w:rsid w:val="008F183E"/>
    <w:rsid w:val="008F25A5"/>
    <w:rsid w:val="008F3FC4"/>
    <w:rsid w:val="008F5288"/>
    <w:rsid w:val="008F54A0"/>
    <w:rsid w:val="008F5605"/>
    <w:rsid w:val="008F5FBE"/>
    <w:rsid w:val="008F7489"/>
    <w:rsid w:val="009021FC"/>
    <w:rsid w:val="00903B62"/>
    <w:rsid w:val="00904124"/>
    <w:rsid w:val="009058D0"/>
    <w:rsid w:val="0090604C"/>
    <w:rsid w:val="0091102B"/>
    <w:rsid w:val="00911A99"/>
    <w:rsid w:val="009242AB"/>
    <w:rsid w:val="0092592A"/>
    <w:rsid w:val="00926FC5"/>
    <w:rsid w:val="009271DF"/>
    <w:rsid w:val="00932CC6"/>
    <w:rsid w:val="009333CA"/>
    <w:rsid w:val="009348E9"/>
    <w:rsid w:val="00936B96"/>
    <w:rsid w:val="00937CEA"/>
    <w:rsid w:val="00940F20"/>
    <w:rsid w:val="00945D7F"/>
    <w:rsid w:val="0094682F"/>
    <w:rsid w:val="00950CF6"/>
    <w:rsid w:val="00951740"/>
    <w:rsid w:val="009533DE"/>
    <w:rsid w:val="009537C3"/>
    <w:rsid w:val="00956E19"/>
    <w:rsid w:val="0096272B"/>
    <w:rsid w:val="00963A13"/>
    <w:rsid w:val="00965B90"/>
    <w:rsid w:val="00970AEE"/>
    <w:rsid w:val="00972E16"/>
    <w:rsid w:val="00974768"/>
    <w:rsid w:val="009749EF"/>
    <w:rsid w:val="009769CE"/>
    <w:rsid w:val="009853E2"/>
    <w:rsid w:val="00987C66"/>
    <w:rsid w:val="00987FC8"/>
    <w:rsid w:val="0099225B"/>
    <w:rsid w:val="00992654"/>
    <w:rsid w:val="0099267E"/>
    <w:rsid w:val="00994296"/>
    <w:rsid w:val="00994561"/>
    <w:rsid w:val="009A0C11"/>
    <w:rsid w:val="009A2CDE"/>
    <w:rsid w:val="009A4D09"/>
    <w:rsid w:val="009B0EAF"/>
    <w:rsid w:val="009B319D"/>
    <w:rsid w:val="009B3B97"/>
    <w:rsid w:val="009B6BDA"/>
    <w:rsid w:val="009C0BF5"/>
    <w:rsid w:val="009C16A5"/>
    <w:rsid w:val="009C4291"/>
    <w:rsid w:val="009C5C66"/>
    <w:rsid w:val="009C683D"/>
    <w:rsid w:val="009C6915"/>
    <w:rsid w:val="009C6BC7"/>
    <w:rsid w:val="009C6E60"/>
    <w:rsid w:val="009C7A18"/>
    <w:rsid w:val="009D0BF6"/>
    <w:rsid w:val="009D13D2"/>
    <w:rsid w:val="009D532F"/>
    <w:rsid w:val="009D658F"/>
    <w:rsid w:val="009E01B3"/>
    <w:rsid w:val="009E0B83"/>
    <w:rsid w:val="009E0FB4"/>
    <w:rsid w:val="009E4E47"/>
    <w:rsid w:val="009E696B"/>
    <w:rsid w:val="009E7739"/>
    <w:rsid w:val="009F0F8B"/>
    <w:rsid w:val="009F321F"/>
    <w:rsid w:val="009F5AD2"/>
    <w:rsid w:val="009F604D"/>
    <w:rsid w:val="00A01143"/>
    <w:rsid w:val="00A02142"/>
    <w:rsid w:val="00A045DC"/>
    <w:rsid w:val="00A1084F"/>
    <w:rsid w:val="00A158FB"/>
    <w:rsid w:val="00A15E4E"/>
    <w:rsid w:val="00A216DC"/>
    <w:rsid w:val="00A23057"/>
    <w:rsid w:val="00A24C58"/>
    <w:rsid w:val="00A254B4"/>
    <w:rsid w:val="00A30C14"/>
    <w:rsid w:val="00A320F2"/>
    <w:rsid w:val="00A326A7"/>
    <w:rsid w:val="00A32910"/>
    <w:rsid w:val="00A32B11"/>
    <w:rsid w:val="00A40BD6"/>
    <w:rsid w:val="00A41CC5"/>
    <w:rsid w:val="00A42CA3"/>
    <w:rsid w:val="00A438CD"/>
    <w:rsid w:val="00A45983"/>
    <w:rsid w:val="00A46FC6"/>
    <w:rsid w:val="00A52CA2"/>
    <w:rsid w:val="00A55F1A"/>
    <w:rsid w:val="00A56A2D"/>
    <w:rsid w:val="00A57FA6"/>
    <w:rsid w:val="00A60085"/>
    <w:rsid w:val="00A606C0"/>
    <w:rsid w:val="00A6177D"/>
    <w:rsid w:val="00A622CF"/>
    <w:rsid w:val="00A6359F"/>
    <w:rsid w:val="00A74E05"/>
    <w:rsid w:val="00A82C0F"/>
    <w:rsid w:val="00A8345D"/>
    <w:rsid w:val="00A85758"/>
    <w:rsid w:val="00A9017C"/>
    <w:rsid w:val="00A9109E"/>
    <w:rsid w:val="00A929C7"/>
    <w:rsid w:val="00A93CE5"/>
    <w:rsid w:val="00A93D5C"/>
    <w:rsid w:val="00A93F90"/>
    <w:rsid w:val="00A973C5"/>
    <w:rsid w:val="00AA3755"/>
    <w:rsid w:val="00AA485E"/>
    <w:rsid w:val="00AA5877"/>
    <w:rsid w:val="00AA66A9"/>
    <w:rsid w:val="00AB5DEA"/>
    <w:rsid w:val="00AB7009"/>
    <w:rsid w:val="00AC268B"/>
    <w:rsid w:val="00AC28C3"/>
    <w:rsid w:val="00AC2C54"/>
    <w:rsid w:val="00AC3623"/>
    <w:rsid w:val="00AC3B1B"/>
    <w:rsid w:val="00AC4130"/>
    <w:rsid w:val="00AC4F2C"/>
    <w:rsid w:val="00AC738A"/>
    <w:rsid w:val="00AD1D9C"/>
    <w:rsid w:val="00AD5C32"/>
    <w:rsid w:val="00AD74FB"/>
    <w:rsid w:val="00AE0BD2"/>
    <w:rsid w:val="00AE23E5"/>
    <w:rsid w:val="00AE3E73"/>
    <w:rsid w:val="00AE5177"/>
    <w:rsid w:val="00AE6651"/>
    <w:rsid w:val="00AE7AF4"/>
    <w:rsid w:val="00AF1902"/>
    <w:rsid w:val="00B010B4"/>
    <w:rsid w:val="00B01A6C"/>
    <w:rsid w:val="00B0259F"/>
    <w:rsid w:val="00B051E0"/>
    <w:rsid w:val="00B05D8E"/>
    <w:rsid w:val="00B06BD4"/>
    <w:rsid w:val="00B12228"/>
    <w:rsid w:val="00B12866"/>
    <w:rsid w:val="00B13018"/>
    <w:rsid w:val="00B14238"/>
    <w:rsid w:val="00B145FD"/>
    <w:rsid w:val="00B1515F"/>
    <w:rsid w:val="00B23AC3"/>
    <w:rsid w:val="00B25C7F"/>
    <w:rsid w:val="00B27852"/>
    <w:rsid w:val="00B30BD6"/>
    <w:rsid w:val="00B32758"/>
    <w:rsid w:val="00B33845"/>
    <w:rsid w:val="00B36C97"/>
    <w:rsid w:val="00B4015E"/>
    <w:rsid w:val="00B41C64"/>
    <w:rsid w:val="00B42FBC"/>
    <w:rsid w:val="00B4330E"/>
    <w:rsid w:val="00B4558C"/>
    <w:rsid w:val="00B45597"/>
    <w:rsid w:val="00B46684"/>
    <w:rsid w:val="00B50849"/>
    <w:rsid w:val="00B5086B"/>
    <w:rsid w:val="00B51953"/>
    <w:rsid w:val="00B53ACF"/>
    <w:rsid w:val="00B65B12"/>
    <w:rsid w:val="00B710E0"/>
    <w:rsid w:val="00B7282A"/>
    <w:rsid w:val="00B7343A"/>
    <w:rsid w:val="00B7544F"/>
    <w:rsid w:val="00B774FD"/>
    <w:rsid w:val="00B827F5"/>
    <w:rsid w:val="00B83396"/>
    <w:rsid w:val="00B866D7"/>
    <w:rsid w:val="00B86C0B"/>
    <w:rsid w:val="00B92A7E"/>
    <w:rsid w:val="00B93AE4"/>
    <w:rsid w:val="00B963EA"/>
    <w:rsid w:val="00BA2607"/>
    <w:rsid w:val="00BA4D00"/>
    <w:rsid w:val="00BA5E68"/>
    <w:rsid w:val="00BA6B5A"/>
    <w:rsid w:val="00BB1521"/>
    <w:rsid w:val="00BB3ACE"/>
    <w:rsid w:val="00BB53DB"/>
    <w:rsid w:val="00BB6B20"/>
    <w:rsid w:val="00BC0397"/>
    <w:rsid w:val="00BC67C4"/>
    <w:rsid w:val="00BD1C30"/>
    <w:rsid w:val="00BD3E2A"/>
    <w:rsid w:val="00BD54EC"/>
    <w:rsid w:val="00BD6FC7"/>
    <w:rsid w:val="00BE02B8"/>
    <w:rsid w:val="00BE1307"/>
    <w:rsid w:val="00BE2D05"/>
    <w:rsid w:val="00BF2162"/>
    <w:rsid w:val="00BF2F1E"/>
    <w:rsid w:val="00BF3174"/>
    <w:rsid w:val="00BF37FF"/>
    <w:rsid w:val="00BF4E46"/>
    <w:rsid w:val="00C03683"/>
    <w:rsid w:val="00C03F47"/>
    <w:rsid w:val="00C071B9"/>
    <w:rsid w:val="00C1141C"/>
    <w:rsid w:val="00C16284"/>
    <w:rsid w:val="00C20F7B"/>
    <w:rsid w:val="00C21288"/>
    <w:rsid w:val="00C21D01"/>
    <w:rsid w:val="00C22473"/>
    <w:rsid w:val="00C24219"/>
    <w:rsid w:val="00C2642A"/>
    <w:rsid w:val="00C26844"/>
    <w:rsid w:val="00C27F52"/>
    <w:rsid w:val="00C32B30"/>
    <w:rsid w:val="00C33760"/>
    <w:rsid w:val="00C3444E"/>
    <w:rsid w:val="00C346F5"/>
    <w:rsid w:val="00C34EB0"/>
    <w:rsid w:val="00C359D1"/>
    <w:rsid w:val="00C4105B"/>
    <w:rsid w:val="00C43D9B"/>
    <w:rsid w:val="00C444E6"/>
    <w:rsid w:val="00C506E3"/>
    <w:rsid w:val="00C50E5B"/>
    <w:rsid w:val="00C5258C"/>
    <w:rsid w:val="00C57EA0"/>
    <w:rsid w:val="00C6666C"/>
    <w:rsid w:val="00C704DF"/>
    <w:rsid w:val="00C70804"/>
    <w:rsid w:val="00C71932"/>
    <w:rsid w:val="00C72C40"/>
    <w:rsid w:val="00C75E02"/>
    <w:rsid w:val="00C76C47"/>
    <w:rsid w:val="00C76E9F"/>
    <w:rsid w:val="00C850FC"/>
    <w:rsid w:val="00C85216"/>
    <w:rsid w:val="00C868C2"/>
    <w:rsid w:val="00C93865"/>
    <w:rsid w:val="00C94FD1"/>
    <w:rsid w:val="00C9509C"/>
    <w:rsid w:val="00C95D01"/>
    <w:rsid w:val="00C96143"/>
    <w:rsid w:val="00CA05EB"/>
    <w:rsid w:val="00CA1E80"/>
    <w:rsid w:val="00CA39EA"/>
    <w:rsid w:val="00CA4305"/>
    <w:rsid w:val="00CA4DDD"/>
    <w:rsid w:val="00CA5958"/>
    <w:rsid w:val="00CA7120"/>
    <w:rsid w:val="00CB00C0"/>
    <w:rsid w:val="00CB068F"/>
    <w:rsid w:val="00CB0724"/>
    <w:rsid w:val="00CB261F"/>
    <w:rsid w:val="00CB3F86"/>
    <w:rsid w:val="00CB6561"/>
    <w:rsid w:val="00CB7D4B"/>
    <w:rsid w:val="00CC3229"/>
    <w:rsid w:val="00CC3B68"/>
    <w:rsid w:val="00CC4A56"/>
    <w:rsid w:val="00CD2AF1"/>
    <w:rsid w:val="00CD5396"/>
    <w:rsid w:val="00CF091D"/>
    <w:rsid w:val="00CF0A81"/>
    <w:rsid w:val="00CF0E35"/>
    <w:rsid w:val="00CF0E3F"/>
    <w:rsid w:val="00CF14EA"/>
    <w:rsid w:val="00CF2910"/>
    <w:rsid w:val="00CF2A03"/>
    <w:rsid w:val="00CF792E"/>
    <w:rsid w:val="00D013E0"/>
    <w:rsid w:val="00D06C4A"/>
    <w:rsid w:val="00D07A53"/>
    <w:rsid w:val="00D100F6"/>
    <w:rsid w:val="00D14684"/>
    <w:rsid w:val="00D1483E"/>
    <w:rsid w:val="00D15100"/>
    <w:rsid w:val="00D151E9"/>
    <w:rsid w:val="00D15846"/>
    <w:rsid w:val="00D17A52"/>
    <w:rsid w:val="00D17CA4"/>
    <w:rsid w:val="00D20B12"/>
    <w:rsid w:val="00D21969"/>
    <w:rsid w:val="00D21AC9"/>
    <w:rsid w:val="00D23690"/>
    <w:rsid w:val="00D25713"/>
    <w:rsid w:val="00D32278"/>
    <w:rsid w:val="00D3276B"/>
    <w:rsid w:val="00D328E5"/>
    <w:rsid w:val="00D3350A"/>
    <w:rsid w:val="00D36701"/>
    <w:rsid w:val="00D4504B"/>
    <w:rsid w:val="00D4520D"/>
    <w:rsid w:val="00D45712"/>
    <w:rsid w:val="00D52CF3"/>
    <w:rsid w:val="00D548B2"/>
    <w:rsid w:val="00D56E24"/>
    <w:rsid w:val="00D57563"/>
    <w:rsid w:val="00D641DA"/>
    <w:rsid w:val="00D66950"/>
    <w:rsid w:val="00D7667D"/>
    <w:rsid w:val="00D818B0"/>
    <w:rsid w:val="00D84FB7"/>
    <w:rsid w:val="00D8561B"/>
    <w:rsid w:val="00D92C7E"/>
    <w:rsid w:val="00D9489A"/>
    <w:rsid w:val="00D9534F"/>
    <w:rsid w:val="00D961D5"/>
    <w:rsid w:val="00D9631F"/>
    <w:rsid w:val="00D97719"/>
    <w:rsid w:val="00DA10CD"/>
    <w:rsid w:val="00DA1FF0"/>
    <w:rsid w:val="00DA2602"/>
    <w:rsid w:val="00DA43E5"/>
    <w:rsid w:val="00DA7019"/>
    <w:rsid w:val="00DA7A7B"/>
    <w:rsid w:val="00DB2CED"/>
    <w:rsid w:val="00DB6597"/>
    <w:rsid w:val="00DB701D"/>
    <w:rsid w:val="00DC0A7C"/>
    <w:rsid w:val="00DC1C0E"/>
    <w:rsid w:val="00DC3478"/>
    <w:rsid w:val="00DC3A70"/>
    <w:rsid w:val="00DC3BD9"/>
    <w:rsid w:val="00DC4619"/>
    <w:rsid w:val="00DC578E"/>
    <w:rsid w:val="00DC68F3"/>
    <w:rsid w:val="00DC7E2F"/>
    <w:rsid w:val="00DD378B"/>
    <w:rsid w:val="00DD4C86"/>
    <w:rsid w:val="00DD5BF7"/>
    <w:rsid w:val="00DE4EB7"/>
    <w:rsid w:val="00DE75FC"/>
    <w:rsid w:val="00DF3C2D"/>
    <w:rsid w:val="00DF3D7E"/>
    <w:rsid w:val="00DF4F22"/>
    <w:rsid w:val="00E0037A"/>
    <w:rsid w:val="00E01629"/>
    <w:rsid w:val="00E05165"/>
    <w:rsid w:val="00E05BFA"/>
    <w:rsid w:val="00E07912"/>
    <w:rsid w:val="00E11B46"/>
    <w:rsid w:val="00E120AA"/>
    <w:rsid w:val="00E14D0F"/>
    <w:rsid w:val="00E150A0"/>
    <w:rsid w:val="00E15F56"/>
    <w:rsid w:val="00E17F7B"/>
    <w:rsid w:val="00E20AD5"/>
    <w:rsid w:val="00E21858"/>
    <w:rsid w:val="00E2443E"/>
    <w:rsid w:val="00E25DF0"/>
    <w:rsid w:val="00E26FEF"/>
    <w:rsid w:val="00E30004"/>
    <w:rsid w:val="00E3247A"/>
    <w:rsid w:val="00E33E2A"/>
    <w:rsid w:val="00E40954"/>
    <w:rsid w:val="00E446EF"/>
    <w:rsid w:val="00E44F8B"/>
    <w:rsid w:val="00E50087"/>
    <w:rsid w:val="00E53CA9"/>
    <w:rsid w:val="00E5406C"/>
    <w:rsid w:val="00E56EC0"/>
    <w:rsid w:val="00E654E0"/>
    <w:rsid w:val="00E655B0"/>
    <w:rsid w:val="00E669D2"/>
    <w:rsid w:val="00E74E80"/>
    <w:rsid w:val="00E75297"/>
    <w:rsid w:val="00E76313"/>
    <w:rsid w:val="00E769CB"/>
    <w:rsid w:val="00E8100F"/>
    <w:rsid w:val="00E810FE"/>
    <w:rsid w:val="00E82E6D"/>
    <w:rsid w:val="00E83924"/>
    <w:rsid w:val="00E843D9"/>
    <w:rsid w:val="00E8540D"/>
    <w:rsid w:val="00E8630E"/>
    <w:rsid w:val="00E86EEF"/>
    <w:rsid w:val="00E92CFA"/>
    <w:rsid w:val="00E942E6"/>
    <w:rsid w:val="00E951CE"/>
    <w:rsid w:val="00EA32D2"/>
    <w:rsid w:val="00EA48AF"/>
    <w:rsid w:val="00EB4439"/>
    <w:rsid w:val="00EB72B0"/>
    <w:rsid w:val="00EC2210"/>
    <w:rsid w:val="00EC335F"/>
    <w:rsid w:val="00EC4460"/>
    <w:rsid w:val="00EC6BAA"/>
    <w:rsid w:val="00ED11D3"/>
    <w:rsid w:val="00ED5734"/>
    <w:rsid w:val="00ED7023"/>
    <w:rsid w:val="00ED7448"/>
    <w:rsid w:val="00EE2829"/>
    <w:rsid w:val="00EE4AB0"/>
    <w:rsid w:val="00EE61FB"/>
    <w:rsid w:val="00EE7DD4"/>
    <w:rsid w:val="00EF3C10"/>
    <w:rsid w:val="00EF4130"/>
    <w:rsid w:val="00EF41D4"/>
    <w:rsid w:val="00EF504F"/>
    <w:rsid w:val="00F00552"/>
    <w:rsid w:val="00F00D66"/>
    <w:rsid w:val="00F00D8B"/>
    <w:rsid w:val="00F03900"/>
    <w:rsid w:val="00F04E60"/>
    <w:rsid w:val="00F056CA"/>
    <w:rsid w:val="00F06047"/>
    <w:rsid w:val="00F07FA7"/>
    <w:rsid w:val="00F10B62"/>
    <w:rsid w:val="00F1191F"/>
    <w:rsid w:val="00F12164"/>
    <w:rsid w:val="00F12B45"/>
    <w:rsid w:val="00F14F4D"/>
    <w:rsid w:val="00F15291"/>
    <w:rsid w:val="00F15484"/>
    <w:rsid w:val="00F1667A"/>
    <w:rsid w:val="00F176B6"/>
    <w:rsid w:val="00F25CA8"/>
    <w:rsid w:val="00F262B3"/>
    <w:rsid w:val="00F336A1"/>
    <w:rsid w:val="00F3395A"/>
    <w:rsid w:val="00F341DE"/>
    <w:rsid w:val="00F361E0"/>
    <w:rsid w:val="00F36392"/>
    <w:rsid w:val="00F43183"/>
    <w:rsid w:val="00F44BF8"/>
    <w:rsid w:val="00F44BFB"/>
    <w:rsid w:val="00F450F3"/>
    <w:rsid w:val="00F504F3"/>
    <w:rsid w:val="00F518E3"/>
    <w:rsid w:val="00F51922"/>
    <w:rsid w:val="00F51EAA"/>
    <w:rsid w:val="00F56168"/>
    <w:rsid w:val="00F64BDD"/>
    <w:rsid w:val="00F66132"/>
    <w:rsid w:val="00F67052"/>
    <w:rsid w:val="00F707D6"/>
    <w:rsid w:val="00F72D4B"/>
    <w:rsid w:val="00F73639"/>
    <w:rsid w:val="00F762EE"/>
    <w:rsid w:val="00F7752E"/>
    <w:rsid w:val="00F829BE"/>
    <w:rsid w:val="00F879D1"/>
    <w:rsid w:val="00F90BD3"/>
    <w:rsid w:val="00F94867"/>
    <w:rsid w:val="00FA05EC"/>
    <w:rsid w:val="00FA197E"/>
    <w:rsid w:val="00FA2EAB"/>
    <w:rsid w:val="00FA4298"/>
    <w:rsid w:val="00FA464A"/>
    <w:rsid w:val="00FB093D"/>
    <w:rsid w:val="00FB391E"/>
    <w:rsid w:val="00FB4558"/>
    <w:rsid w:val="00FB7630"/>
    <w:rsid w:val="00FB7944"/>
    <w:rsid w:val="00FC1063"/>
    <w:rsid w:val="00FC10D8"/>
    <w:rsid w:val="00FC2976"/>
    <w:rsid w:val="00FC7EAA"/>
    <w:rsid w:val="00FD349E"/>
    <w:rsid w:val="00FD5405"/>
    <w:rsid w:val="00FD5938"/>
    <w:rsid w:val="00FD5F7B"/>
    <w:rsid w:val="00FD7D37"/>
    <w:rsid w:val="00FE0F78"/>
    <w:rsid w:val="00FE5393"/>
    <w:rsid w:val="00FE5750"/>
    <w:rsid w:val="00FE7DE2"/>
    <w:rsid w:val="00FF6E3F"/>
    <w:rsid w:val="00FF70DA"/>
    <w:rsid w:val="00FF745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45C1F1-517A-4578-B292-24ED11B7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9A"/>
  </w:style>
  <w:style w:type="paragraph" w:styleId="Heading1">
    <w:name w:val="heading 1"/>
    <w:basedOn w:val="Normal"/>
    <w:next w:val="Normal"/>
    <w:link w:val="Heading1Char"/>
    <w:uiPriority w:val="9"/>
    <w:qFormat/>
    <w:rsid w:val="00A55F1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5F1A"/>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C4779"/>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51E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5E68"/>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5498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F4391"/>
    <w:rPr>
      <w:rFonts w:ascii="Lucida Grande" w:hAnsi="Lucida Grande"/>
      <w:sz w:val="18"/>
      <w:szCs w:val="18"/>
    </w:rPr>
  </w:style>
  <w:style w:type="character" w:customStyle="1" w:styleId="BalloonTextChar0">
    <w:name w:val="Balloon Text Char"/>
    <w:basedOn w:val="DefaultParagraphFont"/>
    <w:uiPriority w:val="99"/>
    <w:semiHidden/>
    <w:rsid w:val="00BF4391"/>
    <w:rPr>
      <w:rFonts w:ascii="Lucida Grande" w:hAnsi="Lucida Grande"/>
      <w:sz w:val="18"/>
      <w:szCs w:val="18"/>
    </w:rPr>
  </w:style>
  <w:style w:type="character" w:customStyle="1" w:styleId="BalloonTextChar2">
    <w:name w:val="Balloon Text Char"/>
    <w:basedOn w:val="DefaultParagraphFont"/>
    <w:uiPriority w:val="99"/>
    <w:semiHidden/>
    <w:rsid w:val="00D4701A"/>
    <w:rPr>
      <w:rFonts w:ascii="Lucida Grande" w:hAnsi="Lucida Grande"/>
      <w:sz w:val="18"/>
      <w:szCs w:val="18"/>
    </w:rPr>
  </w:style>
  <w:style w:type="character" w:customStyle="1" w:styleId="BalloonTextChar4">
    <w:name w:val="Balloon Text Char4"/>
    <w:basedOn w:val="DefaultParagraphFont"/>
    <w:uiPriority w:val="99"/>
    <w:semiHidden/>
    <w:rsid w:val="0026543B"/>
    <w:rPr>
      <w:rFonts w:ascii="Lucida Grande" w:hAnsi="Lucida Grande"/>
      <w:sz w:val="18"/>
      <w:szCs w:val="18"/>
    </w:rPr>
  </w:style>
  <w:style w:type="character" w:customStyle="1" w:styleId="BalloonTextChar3">
    <w:name w:val="Balloon Text Char3"/>
    <w:basedOn w:val="DefaultParagraphFont"/>
    <w:uiPriority w:val="99"/>
    <w:semiHidden/>
    <w:rsid w:val="006E5ED6"/>
    <w:rPr>
      <w:rFonts w:ascii="Lucida Grande" w:hAnsi="Lucida Grande"/>
      <w:sz w:val="18"/>
      <w:szCs w:val="18"/>
    </w:rPr>
  </w:style>
  <w:style w:type="character" w:customStyle="1" w:styleId="BalloonTextChar20">
    <w:name w:val="Balloon Text Char2"/>
    <w:basedOn w:val="DefaultParagraphFont"/>
    <w:uiPriority w:val="99"/>
    <w:semiHidden/>
    <w:rsid w:val="00665263"/>
    <w:rPr>
      <w:rFonts w:ascii="Lucida Grande" w:hAnsi="Lucida Grande"/>
      <w:sz w:val="18"/>
      <w:szCs w:val="18"/>
    </w:rPr>
  </w:style>
  <w:style w:type="paragraph" w:styleId="Title">
    <w:name w:val="Title"/>
    <w:basedOn w:val="Normal"/>
    <w:next w:val="Normal"/>
    <w:link w:val="TitleChar"/>
    <w:qFormat/>
    <w:rsid w:val="00A55F1A"/>
    <w:pPr>
      <w:spacing w:before="240" w:after="60" w:line="240" w:lineRule="auto"/>
      <w:jc w:val="center"/>
      <w:outlineLvl w:val="0"/>
    </w:pPr>
    <w:rPr>
      <w:rFonts w:eastAsia="Times New Roman" w:cs="Arial"/>
      <w:b/>
      <w:bCs/>
      <w:kern w:val="28"/>
      <w:sz w:val="52"/>
      <w:szCs w:val="32"/>
    </w:rPr>
  </w:style>
  <w:style w:type="character" w:customStyle="1" w:styleId="TitleChar">
    <w:name w:val="Title Char"/>
    <w:basedOn w:val="DefaultParagraphFont"/>
    <w:link w:val="Title"/>
    <w:rsid w:val="00A55F1A"/>
    <w:rPr>
      <w:rFonts w:eastAsia="Times New Roman" w:cs="Arial"/>
      <w:b/>
      <w:bCs/>
      <w:kern w:val="28"/>
      <w:sz w:val="52"/>
      <w:szCs w:val="32"/>
    </w:rPr>
  </w:style>
  <w:style w:type="character" w:customStyle="1" w:styleId="Heading1Char">
    <w:name w:val="Heading 1 Char"/>
    <w:basedOn w:val="DefaultParagraphFont"/>
    <w:link w:val="Heading1"/>
    <w:uiPriority w:val="9"/>
    <w:rsid w:val="00A55F1A"/>
    <w:rPr>
      <w:rFonts w:eastAsiaTheme="majorEastAsia" w:cstheme="majorBidi"/>
      <w:b/>
      <w:bCs/>
      <w:sz w:val="28"/>
      <w:szCs w:val="28"/>
    </w:rPr>
  </w:style>
  <w:style w:type="character" w:customStyle="1" w:styleId="Heading2Char">
    <w:name w:val="Heading 2 Char"/>
    <w:basedOn w:val="DefaultParagraphFont"/>
    <w:link w:val="Heading2"/>
    <w:uiPriority w:val="9"/>
    <w:rsid w:val="00A55F1A"/>
    <w:rPr>
      <w:rFonts w:eastAsiaTheme="majorEastAsia" w:cstheme="majorBidi"/>
      <w:b/>
      <w:bCs/>
      <w:sz w:val="24"/>
      <w:szCs w:val="26"/>
    </w:rPr>
  </w:style>
  <w:style w:type="paragraph" w:styleId="ListParagraph">
    <w:name w:val="List Paragraph"/>
    <w:basedOn w:val="Normal"/>
    <w:uiPriority w:val="34"/>
    <w:qFormat/>
    <w:rsid w:val="007B0508"/>
    <w:pPr>
      <w:ind w:left="720"/>
      <w:contextualSpacing/>
    </w:pPr>
  </w:style>
  <w:style w:type="character" w:styleId="FootnoteReference">
    <w:name w:val="footnote reference"/>
    <w:basedOn w:val="DefaultParagraphFont"/>
    <w:qFormat/>
    <w:rsid w:val="007B0508"/>
    <w:rPr>
      <w:vertAlign w:val="superscript"/>
    </w:rPr>
  </w:style>
  <w:style w:type="paragraph" w:styleId="FootnoteText">
    <w:name w:val="footnote text"/>
    <w:aliases w:val="Footnote Text Char Char Char, Char,Footnote Text1,Footnote Text Char Char Char Char Char Char1 Char,Footnote Text Char Char Char Char Char, Char Char Char Char,Footnote Text Char Char Char Char Char Char,Char,Char Char Char Char"/>
    <w:basedOn w:val="Normal"/>
    <w:link w:val="FootnoteTextChar"/>
    <w:qFormat/>
    <w:rsid w:val="00604FBC"/>
    <w:pPr>
      <w:spacing w:after="0" w:line="240" w:lineRule="auto"/>
      <w:jc w:val="both"/>
    </w:pPr>
    <w:rPr>
      <w:rFonts w:ascii="Garamond" w:eastAsia="Times New Roman" w:hAnsi="Garamond" w:cs="Times New Roman"/>
      <w:sz w:val="16"/>
      <w:szCs w:val="16"/>
    </w:rPr>
  </w:style>
  <w:style w:type="character" w:customStyle="1" w:styleId="FootnoteTextChar">
    <w:name w:val="Footnote Text Char"/>
    <w:aliases w:val="Footnote Text Char Char Char Char, Char Char,Footnote Text1 Char,Footnote Text Char Char Char Char Char Char1 Char Char,Footnote Text Char Char Char Char Char Char1, Char Char Char Char Char,Char Char,Char Char Char Char Char"/>
    <w:basedOn w:val="DefaultParagraphFont"/>
    <w:link w:val="FootnoteText"/>
    <w:rsid w:val="00604FBC"/>
    <w:rPr>
      <w:rFonts w:ascii="Garamond" w:eastAsia="Times New Roman" w:hAnsi="Garamond" w:cs="Times New Roman"/>
      <w:sz w:val="16"/>
      <w:szCs w:val="16"/>
    </w:rPr>
  </w:style>
  <w:style w:type="paragraph" w:styleId="BodyTextIndent">
    <w:name w:val="Body Text Indent"/>
    <w:basedOn w:val="Normal"/>
    <w:link w:val="BodyTextIndentChar"/>
    <w:rsid w:val="007B0508"/>
    <w:pPr>
      <w:tabs>
        <w:tab w:val="left" w:pos="1489"/>
      </w:tabs>
      <w:spacing w:after="0" w:line="240" w:lineRule="auto"/>
      <w:ind w:left="720" w:right="720"/>
      <w:jc w:val="both"/>
    </w:pPr>
    <w:rPr>
      <w:rFonts w:ascii="Garamond" w:eastAsia="Times New Roman" w:hAnsi="Garamond" w:cs="Times New Roman"/>
      <w:snapToGrid w:val="0"/>
      <w:color w:val="000000"/>
      <w:szCs w:val="24"/>
    </w:rPr>
  </w:style>
  <w:style w:type="character" w:customStyle="1" w:styleId="BodyTextIndentChar">
    <w:name w:val="Body Text Indent Char"/>
    <w:basedOn w:val="DefaultParagraphFont"/>
    <w:link w:val="BodyTextIndent"/>
    <w:rsid w:val="007B0508"/>
    <w:rPr>
      <w:rFonts w:ascii="Garamond" w:eastAsia="Times New Roman" w:hAnsi="Garamond" w:cs="Times New Roman"/>
      <w:snapToGrid w:val="0"/>
      <w:color w:val="000000"/>
      <w:szCs w:val="24"/>
    </w:rPr>
  </w:style>
  <w:style w:type="paragraph" w:styleId="Footer">
    <w:name w:val="footer"/>
    <w:basedOn w:val="Normal"/>
    <w:link w:val="FooterChar"/>
    <w:uiPriority w:val="99"/>
    <w:qFormat/>
    <w:rsid w:val="0092592A"/>
    <w:pPr>
      <w:tabs>
        <w:tab w:val="center" w:pos="4153"/>
        <w:tab w:val="right" w:pos="8306"/>
      </w:tabs>
      <w:spacing w:after="0" w:line="240" w:lineRule="auto"/>
      <w:jc w:val="both"/>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92592A"/>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92592A"/>
    <w:pPr>
      <w:spacing w:before="120" w:after="120" w:line="240" w:lineRule="auto"/>
    </w:pPr>
    <w:rPr>
      <w:rFonts w:ascii="Times New Roman" w:eastAsia="Times New Roman" w:hAnsi="Times New Roman" w:cs="Times New Roman"/>
      <w:b/>
      <w:bCs/>
      <w:caps/>
      <w:sz w:val="20"/>
      <w:szCs w:val="24"/>
    </w:rPr>
  </w:style>
  <w:style w:type="paragraph" w:styleId="TOC2">
    <w:name w:val="toc 2"/>
    <w:basedOn w:val="Normal"/>
    <w:next w:val="Normal"/>
    <w:autoRedefine/>
    <w:uiPriority w:val="39"/>
    <w:rsid w:val="0092592A"/>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rsid w:val="0092592A"/>
    <w:pPr>
      <w:spacing w:after="0" w:line="240" w:lineRule="auto"/>
      <w:ind w:left="480"/>
    </w:pPr>
    <w:rPr>
      <w:rFonts w:ascii="Times New Roman" w:eastAsia="Times New Roman" w:hAnsi="Times New Roman" w:cs="Times New Roman"/>
      <w:i/>
      <w:iCs/>
      <w:sz w:val="20"/>
      <w:szCs w:val="24"/>
    </w:rPr>
  </w:style>
  <w:style w:type="character" w:styleId="Hyperlink">
    <w:name w:val="Hyperlink"/>
    <w:basedOn w:val="DefaultParagraphFont"/>
    <w:uiPriority w:val="99"/>
    <w:unhideWhenUsed/>
    <w:rsid w:val="0092592A"/>
    <w:rPr>
      <w:color w:val="0000FF" w:themeColor="hyperlink"/>
      <w:u w:val="single"/>
    </w:rPr>
  </w:style>
  <w:style w:type="character" w:customStyle="1" w:styleId="Heading3Char">
    <w:name w:val="Heading 3 Char"/>
    <w:basedOn w:val="DefaultParagraphFont"/>
    <w:link w:val="Heading3"/>
    <w:uiPriority w:val="9"/>
    <w:rsid w:val="005C4779"/>
    <w:rPr>
      <w:rFonts w:eastAsiaTheme="majorEastAsia" w:cstheme="majorBidi"/>
      <w:b/>
      <w:bCs/>
    </w:rPr>
  </w:style>
  <w:style w:type="paragraph" w:customStyle="1" w:styleId="FigureHeading">
    <w:name w:val="Figure Heading"/>
    <w:basedOn w:val="Normal"/>
    <w:rsid w:val="00D100F6"/>
    <w:pPr>
      <w:spacing w:after="0" w:line="240" w:lineRule="auto"/>
      <w:ind w:left="340"/>
      <w:jc w:val="both"/>
    </w:pPr>
    <w:rPr>
      <w:rFonts w:ascii="Calibri" w:eastAsia="Times New Roman" w:hAnsi="Calibri" w:cs="Times New Roman"/>
      <w:i/>
      <w:sz w:val="24"/>
      <w:szCs w:val="24"/>
    </w:rPr>
  </w:style>
  <w:style w:type="table" w:styleId="TableGrid">
    <w:name w:val="Table Grid"/>
    <w:basedOn w:val="TableNormal"/>
    <w:rsid w:val="00A01143"/>
    <w:pPr>
      <w:spacing w:after="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g">
    <w:name w:val="pg"/>
    <w:basedOn w:val="DefaultParagraphFont"/>
    <w:rsid w:val="00F14F4D"/>
  </w:style>
  <w:style w:type="character" w:customStyle="1" w:styleId="apple-converted-space">
    <w:name w:val="apple-converted-space"/>
    <w:basedOn w:val="DefaultParagraphFont"/>
    <w:rsid w:val="00F14F4D"/>
  </w:style>
  <w:style w:type="character" w:customStyle="1" w:styleId="dnindex">
    <w:name w:val="dnindex"/>
    <w:basedOn w:val="DefaultParagraphFont"/>
    <w:rsid w:val="00F14F4D"/>
  </w:style>
  <w:style w:type="character" w:customStyle="1" w:styleId="Heading4Char">
    <w:name w:val="Heading 4 Char"/>
    <w:basedOn w:val="DefaultParagraphFont"/>
    <w:link w:val="Heading4"/>
    <w:uiPriority w:val="9"/>
    <w:semiHidden/>
    <w:rsid w:val="00551EA1"/>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54989"/>
    <w:rPr>
      <w:sz w:val="16"/>
      <w:szCs w:val="16"/>
    </w:rPr>
  </w:style>
  <w:style w:type="paragraph" w:styleId="CommentText">
    <w:name w:val="annotation text"/>
    <w:basedOn w:val="Normal"/>
    <w:link w:val="CommentTextChar"/>
    <w:uiPriority w:val="99"/>
    <w:semiHidden/>
    <w:unhideWhenUsed/>
    <w:rsid w:val="00054989"/>
    <w:pPr>
      <w:spacing w:line="240" w:lineRule="auto"/>
    </w:pPr>
    <w:rPr>
      <w:sz w:val="20"/>
      <w:szCs w:val="20"/>
    </w:rPr>
  </w:style>
  <w:style w:type="character" w:customStyle="1" w:styleId="CommentTextChar">
    <w:name w:val="Comment Text Char"/>
    <w:basedOn w:val="DefaultParagraphFont"/>
    <w:link w:val="CommentText"/>
    <w:uiPriority w:val="99"/>
    <w:semiHidden/>
    <w:rsid w:val="00054989"/>
    <w:rPr>
      <w:sz w:val="20"/>
      <w:szCs w:val="20"/>
    </w:rPr>
  </w:style>
  <w:style w:type="paragraph" w:styleId="CommentSubject">
    <w:name w:val="annotation subject"/>
    <w:basedOn w:val="CommentText"/>
    <w:next w:val="CommentText"/>
    <w:link w:val="CommentSubjectChar"/>
    <w:uiPriority w:val="99"/>
    <w:semiHidden/>
    <w:unhideWhenUsed/>
    <w:rsid w:val="00054989"/>
    <w:rPr>
      <w:b/>
      <w:bCs/>
    </w:rPr>
  </w:style>
  <w:style w:type="character" w:customStyle="1" w:styleId="CommentSubjectChar">
    <w:name w:val="Comment Subject Char"/>
    <w:basedOn w:val="CommentTextChar"/>
    <w:link w:val="CommentSubject"/>
    <w:uiPriority w:val="99"/>
    <w:semiHidden/>
    <w:rsid w:val="00054989"/>
    <w:rPr>
      <w:b/>
      <w:bCs/>
      <w:sz w:val="20"/>
      <w:szCs w:val="20"/>
    </w:rPr>
  </w:style>
  <w:style w:type="character" w:customStyle="1" w:styleId="BalloonTextChar1">
    <w:name w:val="Balloon Text Char1"/>
    <w:basedOn w:val="DefaultParagraphFont"/>
    <w:link w:val="BalloonText"/>
    <w:uiPriority w:val="99"/>
    <w:semiHidden/>
    <w:rsid w:val="00054989"/>
    <w:rPr>
      <w:rFonts w:ascii="Tahoma" w:hAnsi="Tahoma" w:cs="Tahoma"/>
      <w:sz w:val="16"/>
      <w:szCs w:val="16"/>
    </w:rPr>
  </w:style>
  <w:style w:type="paragraph" w:styleId="NormalWeb">
    <w:name w:val="Normal (Web)"/>
    <w:basedOn w:val="Normal"/>
    <w:uiPriority w:val="99"/>
    <w:unhideWhenUsed/>
    <w:rsid w:val="00A24C58"/>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F7457"/>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01E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1E6F"/>
  </w:style>
  <w:style w:type="character" w:styleId="PageNumber">
    <w:name w:val="page number"/>
    <w:basedOn w:val="DefaultParagraphFont"/>
    <w:uiPriority w:val="99"/>
    <w:semiHidden/>
    <w:unhideWhenUsed/>
    <w:rsid w:val="00001E6F"/>
  </w:style>
  <w:style w:type="paragraph" w:customStyle="1" w:styleId="Extract">
    <w:name w:val="Extract"/>
    <w:basedOn w:val="Normal"/>
    <w:rsid w:val="00B92A7E"/>
    <w:pPr>
      <w:spacing w:after="120" w:line="240" w:lineRule="auto"/>
      <w:ind w:left="794" w:right="794"/>
    </w:pPr>
    <w:rPr>
      <w:rFonts w:ascii="Palatino Linotype" w:eastAsia="Times New Roman" w:hAnsi="Palatino Linotype" w:cs="Times New Roman"/>
      <w:sz w:val="20"/>
    </w:rPr>
  </w:style>
  <w:style w:type="paragraph" w:customStyle="1" w:styleId="Bibliography1">
    <w:name w:val="Bibliography1"/>
    <w:basedOn w:val="Normal"/>
    <w:rsid w:val="006939AD"/>
    <w:pPr>
      <w:spacing w:after="120" w:line="240" w:lineRule="auto"/>
      <w:ind w:left="454" w:hanging="454"/>
    </w:pPr>
    <w:rPr>
      <w:rFonts w:ascii="Palatino Linotype" w:eastAsia="Times New Roman" w:hAnsi="Palatino Linotype" w:cs="Times New Roman"/>
      <w:sz w:val="20"/>
    </w:rPr>
  </w:style>
  <w:style w:type="character" w:customStyle="1" w:styleId="Heading5Char">
    <w:name w:val="Heading 5 Char"/>
    <w:basedOn w:val="DefaultParagraphFont"/>
    <w:link w:val="Heading5"/>
    <w:uiPriority w:val="9"/>
    <w:semiHidden/>
    <w:rsid w:val="00BA5E68"/>
    <w:rPr>
      <w:rFonts w:asciiTheme="majorHAnsi" w:eastAsiaTheme="majorEastAsia" w:hAnsiTheme="majorHAnsi" w:cstheme="majorBidi"/>
      <w:color w:val="244061" w:themeColor="accent1" w:themeShade="80"/>
    </w:rPr>
  </w:style>
  <w:style w:type="character" w:styleId="FollowedHyperlink">
    <w:name w:val="FollowedHyperlink"/>
    <w:basedOn w:val="DefaultParagraphFont"/>
    <w:rsid w:val="00571D4F"/>
    <w:rPr>
      <w:color w:val="800080" w:themeColor="followedHyperlink"/>
      <w:u w:val="single"/>
    </w:rPr>
  </w:style>
  <w:style w:type="paragraph" w:styleId="Bibliography">
    <w:name w:val="Bibliography"/>
    <w:basedOn w:val="Normal"/>
    <w:next w:val="Normal"/>
    <w:rsid w:val="00501F9A"/>
  </w:style>
  <w:style w:type="paragraph" w:styleId="BodyTextIndent3">
    <w:name w:val="Body Text Indent 3"/>
    <w:basedOn w:val="Normal"/>
    <w:link w:val="BodyTextIndent3Char"/>
    <w:rsid w:val="00501F9A"/>
    <w:pPr>
      <w:spacing w:after="120" w:line="240" w:lineRule="auto"/>
      <w:ind w:left="283"/>
      <w:jc w:val="both"/>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501F9A"/>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3827">
      <w:bodyDiv w:val="1"/>
      <w:marLeft w:val="0"/>
      <w:marRight w:val="0"/>
      <w:marTop w:val="0"/>
      <w:marBottom w:val="0"/>
      <w:divBdr>
        <w:top w:val="none" w:sz="0" w:space="0" w:color="auto"/>
        <w:left w:val="none" w:sz="0" w:space="0" w:color="auto"/>
        <w:bottom w:val="none" w:sz="0" w:space="0" w:color="auto"/>
        <w:right w:val="none" w:sz="0" w:space="0" w:color="auto"/>
      </w:divBdr>
      <w:divsChild>
        <w:div w:id="548691755">
          <w:marLeft w:val="547"/>
          <w:marRight w:val="0"/>
          <w:marTop w:val="0"/>
          <w:marBottom w:val="0"/>
          <w:divBdr>
            <w:top w:val="none" w:sz="0" w:space="0" w:color="auto"/>
            <w:left w:val="none" w:sz="0" w:space="0" w:color="auto"/>
            <w:bottom w:val="none" w:sz="0" w:space="0" w:color="auto"/>
            <w:right w:val="none" w:sz="0" w:space="0" w:color="auto"/>
          </w:divBdr>
        </w:div>
        <w:div w:id="731200275">
          <w:marLeft w:val="547"/>
          <w:marRight w:val="0"/>
          <w:marTop w:val="0"/>
          <w:marBottom w:val="0"/>
          <w:divBdr>
            <w:top w:val="none" w:sz="0" w:space="0" w:color="auto"/>
            <w:left w:val="none" w:sz="0" w:space="0" w:color="auto"/>
            <w:bottom w:val="none" w:sz="0" w:space="0" w:color="auto"/>
            <w:right w:val="none" w:sz="0" w:space="0" w:color="auto"/>
          </w:divBdr>
        </w:div>
        <w:div w:id="867838431">
          <w:marLeft w:val="547"/>
          <w:marRight w:val="0"/>
          <w:marTop w:val="0"/>
          <w:marBottom w:val="0"/>
          <w:divBdr>
            <w:top w:val="none" w:sz="0" w:space="0" w:color="auto"/>
            <w:left w:val="none" w:sz="0" w:space="0" w:color="auto"/>
            <w:bottom w:val="none" w:sz="0" w:space="0" w:color="auto"/>
            <w:right w:val="none" w:sz="0" w:space="0" w:color="auto"/>
          </w:divBdr>
        </w:div>
        <w:div w:id="958880106">
          <w:marLeft w:val="547"/>
          <w:marRight w:val="0"/>
          <w:marTop w:val="0"/>
          <w:marBottom w:val="0"/>
          <w:divBdr>
            <w:top w:val="none" w:sz="0" w:space="0" w:color="auto"/>
            <w:left w:val="none" w:sz="0" w:space="0" w:color="auto"/>
            <w:bottom w:val="none" w:sz="0" w:space="0" w:color="auto"/>
            <w:right w:val="none" w:sz="0" w:space="0" w:color="auto"/>
          </w:divBdr>
        </w:div>
        <w:div w:id="1437402908">
          <w:marLeft w:val="547"/>
          <w:marRight w:val="0"/>
          <w:marTop w:val="0"/>
          <w:marBottom w:val="0"/>
          <w:divBdr>
            <w:top w:val="none" w:sz="0" w:space="0" w:color="auto"/>
            <w:left w:val="none" w:sz="0" w:space="0" w:color="auto"/>
            <w:bottom w:val="none" w:sz="0" w:space="0" w:color="auto"/>
            <w:right w:val="none" w:sz="0" w:space="0" w:color="auto"/>
          </w:divBdr>
        </w:div>
        <w:div w:id="1487353097">
          <w:marLeft w:val="547"/>
          <w:marRight w:val="0"/>
          <w:marTop w:val="0"/>
          <w:marBottom w:val="0"/>
          <w:divBdr>
            <w:top w:val="none" w:sz="0" w:space="0" w:color="auto"/>
            <w:left w:val="none" w:sz="0" w:space="0" w:color="auto"/>
            <w:bottom w:val="none" w:sz="0" w:space="0" w:color="auto"/>
            <w:right w:val="none" w:sz="0" w:space="0" w:color="auto"/>
          </w:divBdr>
        </w:div>
        <w:div w:id="1502233305">
          <w:marLeft w:val="547"/>
          <w:marRight w:val="0"/>
          <w:marTop w:val="0"/>
          <w:marBottom w:val="0"/>
          <w:divBdr>
            <w:top w:val="none" w:sz="0" w:space="0" w:color="auto"/>
            <w:left w:val="none" w:sz="0" w:space="0" w:color="auto"/>
            <w:bottom w:val="none" w:sz="0" w:space="0" w:color="auto"/>
            <w:right w:val="none" w:sz="0" w:space="0" w:color="auto"/>
          </w:divBdr>
        </w:div>
        <w:div w:id="1646931716">
          <w:marLeft w:val="547"/>
          <w:marRight w:val="0"/>
          <w:marTop w:val="0"/>
          <w:marBottom w:val="0"/>
          <w:divBdr>
            <w:top w:val="none" w:sz="0" w:space="0" w:color="auto"/>
            <w:left w:val="none" w:sz="0" w:space="0" w:color="auto"/>
            <w:bottom w:val="none" w:sz="0" w:space="0" w:color="auto"/>
            <w:right w:val="none" w:sz="0" w:space="0" w:color="auto"/>
          </w:divBdr>
        </w:div>
        <w:div w:id="1720933609">
          <w:marLeft w:val="547"/>
          <w:marRight w:val="0"/>
          <w:marTop w:val="0"/>
          <w:marBottom w:val="0"/>
          <w:divBdr>
            <w:top w:val="none" w:sz="0" w:space="0" w:color="auto"/>
            <w:left w:val="none" w:sz="0" w:space="0" w:color="auto"/>
            <w:bottom w:val="none" w:sz="0" w:space="0" w:color="auto"/>
            <w:right w:val="none" w:sz="0" w:space="0" w:color="auto"/>
          </w:divBdr>
        </w:div>
      </w:divsChild>
    </w:div>
    <w:div w:id="87118017">
      <w:bodyDiv w:val="1"/>
      <w:marLeft w:val="0"/>
      <w:marRight w:val="0"/>
      <w:marTop w:val="0"/>
      <w:marBottom w:val="0"/>
      <w:divBdr>
        <w:top w:val="none" w:sz="0" w:space="0" w:color="auto"/>
        <w:left w:val="none" w:sz="0" w:space="0" w:color="auto"/>
        <w:bottom w:val="none" w:sz="0" w:space="0" w:color="auto"/>
        <w:right w:val="none" w:sz="0" w:space="0" w:color="auto"/>
      </w:divBdr>
      <w:divsChild>
        <w:div w:id="301351190">
          <w:marLeft w:val="547"/>
          <w:marRight w:val="0"/>
          <w:marTop w:val="0"/>
          <w:marBottom w:val="0"/>
          <w:divBdr>
            <w:top w:val="none" w:sz="0" w:space="0" w:color="auto"/>
            <w:left w:val="none" w:sz="0" w:space="0" w:color="auto"/>
            <w:bottom w:val="none" w:sz="0" w:space="0" w:color="auto"/>
            <w:right w:val="none" w:sz="0" w:space="0" w:color="auto"/>
          </w:divBdr>
        </w:div>
        <w:div w:id="332607295">
          <w:marLeft w:val="547"/>
          <w:marRight w:val="0"/>
          <w:marTop w:val="0"/>
          <w:marBottom w:val="0"/>
          <w:divBdr>
            <w:top w:val="none" w:sz="0" w:space="0" w:color="auto"/>
            <w:left w:val="none" w:sz="0" w:space="0" w:color="auto"/>
            <w:bottom w:val="none" w:sz="0" w:space="0" w:color="auto"/>
            <w:right w:val="none" w:sz="0" w:space="0" w:color="auto"/>
          </w:divBdr>
        </w:div>
        <w:div w:id="615064617">
          <w:marLeft w:val="547"/>
          <w:marRight w:val="0"/>
          <w:marTop w:val="0"/>
          <w:marBottom w:val="0"/>
          <w:divBdr>
            <w:top w:val="none" w:sz="0" w:space="0" w:color="auto"/>
            <w:left w:val="none" w:sz="0" w:space="0" w:color="auto"/>
            <w:bottom w:val="none" w:sz="0" w:space="0" w:color="auto"/>
            <w:right w:val="none" w:sz="0" w:space="0" w:color="auto"/>
          </w:divBdr>
        </w:div>
        <w:div w:id="735010074">
          <w:marLeft w:val="547"/>
          <w:marRight w:val="0"/>
          <w:marTop w:val="0"/>
          <w:marBottom w:val="0"/>
          <w:divBdr>
            <w:top w:val="none" w:sz="0" w:space="0" w:color="auto"/>
            <w:left w:val="none" w:sz="0" w:space="0" w:color="auto"/>
            <w:bottom w:val="none" w:sz="0" w:space="0" w:color="auto"/>
            <w:right w:val="none" w:sz="0" w:space="0" w:color="auto"/>
          </w:divBdr>
        </w:div>
        <w:div w:id="1146317789">
          <w:marLeft w:val="547"/>
          <w:marRight w:val="0"/>
          <w:marTop w:val="0"/>
          <w:marBottom w:val="0"/>
          <w:divBdr>
            <w:top w:val="none" w:sz="0" w:space="0" w:color="auto"/>
            <w:left w:val="none" w:sz="0" w:space="0" w:color="auto"/>
            <w:bottom w:val="none" w:sz="0" w:space="0" w:color="auto"/>
            <w:right w:val="none" w:sz="0" w:space="0" w:color="auto"/>
          </w:divBdr>
        </w:div>
        <w:div w:id="1299611614">
          <w:marLeft w:val="547"/>
          <w:marRight w:val="0"/>
          <w:marTop w:val="0"/>
          <w:marBottom w:val="0"/>
          <w:divBdr>
            <w:top w:val="none" w:sz="0" w:space="0" w:color="auto"/>
            <w:left w:val="none" w:sz="0" w:space="0" w:color="auto"/>
            <w:bottom w:val="none" w:sz="0" w:space="0" w:color="auto"/>
            <w:right w:val="none" w:sz="0" w:space="0" w:color="auto"/>
          </w:divBdr>
        </w:div>
      </w:divsChild>
    </w:div>
    <w:div w:id="146479775">
      <w:bodyDiv w:val="1"/>
      <w:marLeft w:val="0"/>
      <w:marRight w:val="0"/>
      <w:marTop w:val="0"/>
      <w:marBottom w:val="0"/>
      <w:divBdr>
        <w:top w:val="none" w:sz="0" w:space="0" w:color="auto"/>
        <w:left w:val="none" w:sz="0" w:space="0" w:color="auto"/>
        <w:bottom w:val="none" w:sz="0" w:space="0" w:color="auto"/>
        <w:right w:val="none" w:sz="0" w:space="0" w:color="auto"/>
      </w:divBdr>
      <w:divsChild>
        <w:div w:id="273563199">
          <w:marLeft w:val="0"/>
          <w:marRight w:val="0"/>
          <w:marTop w:val="0"/>
          <w:marBottom w:val="0"/>
          <w:divBdr>
            <w:top w:val="none" w:sz="0" w:space="0" w:color="auto"/>
            <w:left w:val="none" w:sz="0" w:space="0" w:color="auto"/>
            <w:bottom w:val="none" w:sz="0" w:space="0" w:color="auto"/>
            <w:right w:val="none" w:sz="0" w:space="0" w:color="auto"/>
          </w:divBdr>
          <w:divsChild>
            <w:div w:id="2065105677">
              <w:marLeft w:val="0"/>
              <w:marRight w:val="0"/>
              <w:marTop w:val="0"/>
              <w:marBottom w:val="0"/>
              <w:divBdr>
                <w:top w:val="none" w:sz="0" w:space="0" w:color="auto"/>
                <w:left w:val="none" w:sz="0" w:space="0" w:color="auto"/>
                <w:bottom w:val="none" w:sz="0" w:space="0" w:color="auto"/>
                <w:right w:val="none" w:sz="0" w:space="0" w:color="auto"/>
              </w:divBdr>
              <w:divsChild>
                <w:div w:id="1015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4146">
      <w:bodyDiv w:val="1"/>
      <w:marLeft w:val="0"/>
      <w:marRight w:val="0"/>
      <w:marTop w:val="0"/>
      <w:marBottom w:val="0"/>
      <w:divBdr>
        <w:top w:val="none" w:sz="0" w:space="0" w:color="auto"/>
        <w:left w:val="none" w:sz="0" w:space="0" w:color="auto"/>
        <w:bottom w:val="none" w:sz="0" w:space="0" w:color="auto"/>
        <w:right w:val="none" w:sz="0" w:space="0" w:color="auto"/>
      </w:divBdr>
    </w:div>
    <w:div w:id="196164343">
      <w:bodyDiv w:val="1"/>
      <w:marLeft w:val="0"/>
      <w:marRight w:val="0"/>
      <w:marTop w:val="0"/>
      <w:marBottom w:val="0"/>
      <w:divBdr>
        <w:top w:val="none" w:sz="0" w:space="0" w:color="auto"/>
        <w:left w:val="none" w:sz="0" w:space="0" w:color="auto"/>
        <w:bottom w:val="none" w:sz="0" w:space="0" w:color="auto"/>
        <w:right w:val="none" w:sz="0" w:space="0" w:color="auto"/>
      </w:divBdr>
    </w:div>
    <w:div w:id="226839972">
      <w:bodyDiv w:val="1"/>
      <w:marLeft w:val="0"/>
      <w:marRight w:val="0"/>
      <w:marTop w:val="0"/>
      <w:marBottom w:val="0"/>
      <w:divBdr>
        <w:top w:val="none" w:sz="0" w:space="0" w:color="auto"/>
        <w:left w:val="none" w:sz="0" w:space="0" w:color="auto"/>
        <w:bottom w:val="none" w:sz="0" w:space="0" w:color="auto"/>
        <w:right w:val="none" w:sz="0" w:space="0" w:color="auto"/>
      </w:divBdr>
      <w:divsChild>
        <w:div w:id="468203394">
          <w:marLeft w:val="547"/>
          <w:marRight w:val="0"/>
          <w:marTop w:val="0"/>
          <w:marBottom w:val="0"/>
          <w:divBdr>
            <w:top w:val="none" w:sz="0" w:space="0" w:color="auto"/>
            <w:left w:val="none" w:sz="0" w:space="0" w:color="auto"/>
            <w:bottom w:val="none" w:sz="0" w:space="0" w:color="auto"/>
            <w:right w:val="none" w:sz="0" w:space="0" w:color="auto"/>
          </w:divBdr>
        </w:div>
      </w:divsChild>
    </w:div>
    <w:div w:id="291135699">
      <w:bodyDiv w:val="1"/>
      <w:marLeft w:val="0"/>
      <w:marRight w:val="0"/>
      <w:marTop w:val="0"/>
      <w:marBottom w:val="0"/>
      <w:divBdr>
        <w:top w:val="none" w:sz="0" w:space="0" w:color="auto"/>
        <w:left w:val="none" w:sz="0" w:space="0" w:color="auto"/>
        <w:bottom w:val="none" w:sz="0" w:space="0" w:color="auto"/>
        <w:right w:val="none" w:sz="0" w:space="0" w:color="auto"/>
      </w:divBdr>
      <w:divsChild>
        <w:div w:id="904291863">
          <w:marLeft w:val="547"/>
          <w:marRight w:val="0"/>
          <w:marTop w:val="0"/>
          <w:marBottom w:val="0"/>
          <w:divBdr>
            <w:top w:val="none" w:sz="0" w:space="0" w:color="auto"/>
            <w:left w:val="none" w:sz="0" w:space="0" w:color="auto"/>
            <w:bottom w:val="none" w:sz="0" w:space="0" w:color="auto"/>
            <w:right w:val="none" w:sz="0" w:space="0" w:color="auto"/>
          </w:divBdr>
        </w:div>
        <w:div w:id="930889923">
          <w:marLeft w:val="547"/>
          <w:marRight w:val="0"/>
          <w:marTop w:val="0"/>
          <w:marBottom w:val="0"/>
          <w:divBdr>
            <w:top w:val="none" w:sz="0" w:space="0" w:color="auto"/>
            <w:left w:val="none" w:sz="0" w:space="0" w:color="auto"/>
            <w:bottom w:val="none" w:sz="0" w:space="0" w:color="auto"/>
            <w:right w:val="none" w:sz="0" w:space="0" w:color="auto"/>
          </w:divBdr>
        </w:div>
      </w:divsChild>
    </w:div>
    <w:div w:id="302587641">
      <w:bodyDiv w:val="1"/>
      <w:marLeft w:val="0"/>
      <w:marRight w:val="0"/>
      <w:marTop w:val="0"/>
      <w:marBottom w:val="0"/>
      <w:divBdr>
        <w:top w:val="none" w:sz="0" w:space="0" w:color="auto"/>
        <w:left w:val="none" w:sz="0" w:space="0" w:color="auto"/>
        <w:bottom w:val="none" w:sz="0" w:space="0" w:color="auto"/>
        <w:right w:val="none" w:sz="0" w:space="0" w:color="auto"/>
      </w:divBdr>
      <w:divsChild>
        <w:div w:id="936250676">
          <w:marLeft w:val="0"/>
          <w:marRight w:val="0"/>
          <w:marTop w:val="0"/>
          <w:marBottom w:val="0"/>
          <w:divBdr>
            <w:top w:val="none" w:sz="0" w:space="0" w:color="auto"/>
            <w:left w:val="none" w:sz="0" w:space="0" w:color="auto"/>
            <w:bottom w:val="none" w:sz="0" w:space="0" w:color="auto"/>
            <w:right w:val="none" w:sz="0" w:space="0" w:color="auto"/>
          </w:divBdr>
          <w:divsChild>
            <w:div w:id="1372925275">
              <w:marLeft w:val="0"/>
              <w:marRight w:val="0"/>
              <w:marTop w:val="0"/>
              <w:marBottom w:val="0"/>
              <w:divBdr>
                <w:top w:val="none" w:sz="0" w:space="0" w:color="auto"/>
                <w:left w:val="none" w:sz="0" w:space="0" w:color="auto"/>
                <w:bottom w:val="none" w:sz="0" w:space="0" w:color="auto"/>
                <w:right w:val="none" w:sz="0" w:space="0" w:color="auto"/>
              </w:divBdr>
              <w:divsChild>
                <w:div w:id="781262965">
                  <w:marLeft w:val="0"/>
                  <w:marRight w:val="0"/>
                  <w:marTop w:val="0"/>
                  <w:marBottom w:val="0"/>
                  <w:divBdr>
                    <w:top w:val="none" w:sz="0" w:space="0" w:color="auto"/>
                    <w:left w:val="none" w:sz="0" w:space="0" w:color="auto"/>
                    <w:bottom w:val="none" w:sz="0" w:space="0" w:color="auto"/>
                    <w:right w:val="none" w:sz="0" w:space="0" w:color="auto"/>
                  </w:divBdr>
                </w:div>
                <w:div w:id="778530504">
                  <w:marLeft w:val="0"/>
                  <w:marRight w:val="0"/>
                  <w:marTop w:val="0"/>
                  <w:marBottom w:val="0"/>
                  <w:divBdr>
                    <w:top w:val="none" w:sz="0" w:space="0" w:color="auto"/>
                    <w:left w:val="none" w:sz="0" w:space="0" w:color="auto"/>
                    <w:bottom w:val="none" w:sz="0" w:space="0" w:color="auto"/>
                    <w:right w:val="none" w:sz="0" w:space="0" w:color="auto"/>
                  </w:divBdr>
                </w:div>
                <w:div w:id="110634849">
                  <w:marLeft w:val="0"/>
                  <w:marRight w:val="0"/>
                  <w:marTop w:val="0"/>
                  <w:marBottom w:val="0"/>
                  <w:divBdr>
                    <w:top w:val="none" w:sz="0" w:space="0" w:color="auto"/>
                    <w:left w:val="none" w:sz="0" w:space="0" w:color="auto"/>
                    <w:bottom w:val="none" w:sz="0" w:space="0" w:color="auto"/>
                    <w:right w:val="none" w:sz="0" w:space="0" w:color="auto"/>
                  </w:divBdr>
                </w:div>
              </w:divsChild>
            </w:div>
            <w:div w:id="981235241">
              <w:marLeft w:val="0"/>
              <w:marRight w:val="0"/>
              <w:marTop w:val="0"/>
              <w:marBottom w:val="0"/>
              <w:divBdr>
                <w:top w:val="none" w:sz="0" w:space="0" w:color="auto"/>
                <w:left w:val="none" w:sz="0" w:space="0" w:color="auto"/>
                <w:bottom w:val="none" w:sz="0" w:space="0" w:color="auto"/>
                <w:right w:val="none" w:sz="0" w:space="0" w:color="auto"/>
              </w:divBdr>
              <w:divsChild>
                <w:div w:id="3933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9979">
          <w:marLeft w:val="0"/>
          <w:marRight w:val="0"/>
          <w:marTop w:val="0"/>
          <w:marBottom w:val="0"/>
          <w:divBdr>
            <w:top w:val="none" w:sz="0" w:space="0" w:color="auto"/>
            <w:left w:val="none" w:sz="0" w:space="0" w:color="auto"/>
            <w:bottom w:val="none" w:sz="0" w:space="0" w:color="auto"/>
            <w:right w:val="none" w:sz="0" w:space="0" w:color="auto"/>
          </w:divBdr>
          <w:divsChild>
            <w:div w:id="649603565">
              <w:marLeft w:val="0"/>
              <w:marRight w:val="0"/>
              <w:marTop w:val="0"/>
              <w:marBottom w:val="0"/>
              <w:divBdr>
                <w:top w:val="none" w:sz="0" w:space="0" w:color="auto"/>
                <w:left w:val="none" w:sz="0" w:space="0" w:color="auto"/>
                <w:bottom w:val="none" w:sz="0" w:space="0" w:color="auto"/>
                <w:right w:val="none" w:sz="0" w:space="0" w:color="auto"/>
              </w:divBdr>
              <w:divsChild>
                <w:div w:id="71779764">
                  <w:marLeft w:val="0"/>
                  <w:marRight w:val="0"/>
                  <w:marTop w:val="0"/>
                  <w:marBottom w:val="0"/>
                  <w:divBdr>
                    <w:top w:val="none" w:sz="0" w:space="0" w:color="auto"/>
                    <w:left w:val="none" w:sz="0" w:space="0" w:color="auto"/>
                    <w:bottom w:val="none" w:sz="0" w:space="0" w:color="auto"/>
                    <w:right w:val="none" w:sz="0" w:space="0" w:color="auto"/>
                  </w:divBdr>
                </w:div>
              </w:divsChild>
            </w:div>
            <w:div w:id="450978844">
              <w:marLeft w:val="0"/>
              <w:marRight w:val="0"/>
              <w:marTop w:val="0"/>
              <w:marBottom w:val="0"/>
              <w:divBdr>
                <w:top w:val="none" w:sz="0" w:space="0" w:color="auto"/>
                <w:left w:val="none" w:sz="0" w:space="0" w:color="auto"/>
                <w:bottom w:val="none" w:sz="0" w:space="0" w:color="auto"/>
                <w:right w:val="none" w:sz="0" w:space="0" w:color="auto"/>
              </w:divBdr>
              <w:divsChild>
                <w:div w:id="1905800457">
                  <w:marLeft w:val="0"/>
                  <w:marRight w:val="0"/>
                  <w:marTop w:val="0"/>
                  <w:marBottom w:val="0"/>
                  <w:divBdr>
                    <w:top w:val="none" w:sz="0" w:space="0" w:color="auto"/>
                    <w:left w:val="none" w:sz="0" w:space="0" w:color="auto"/>
                    <w:bottom w:val="none" w:sz="0" w:space="0" w:color="auto"/>
                    <w:right w:val="none" w:sz="0" w:space="0" w:color="auto"/>
                  </w:divBdr>
                </w:div>
                <w:div w:id="943994158">
                  <w:marLeft w:val="0"/>
                  <w:marRight w:val="0"/>
                  <w:marTop w:val="0"/>
                  <w:marBottom w:val="0"/>
                  <w:divBdr>
                    <w:top w:val="none" w:sz="0" w:space="0" w:color="auto"/>
                    <w:left w:val="none" w:sz="0" w:space="0" w:color="auto"/>
                    <w:bottom w:val="none" w:sz="0" w:space="0" w:color="auto"/>
                    <w:right w:val="none" w:sz="0" w:space="0" w:color="auto"/>
                  </w:divBdr>
                </w:div>
                <w:div w:id="11749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9628">
          <w:marLeft w:val="0"/>
          <w:marRight w:val="0"/>
          <w:marTop w:val="0"/>
          <w:marBottom w:val="0"/>
          <w:divBdr>
            <w:top w:val="none" w:sz="0" w:space="0" w:color="auto"/>
            <w:left w:val="none" w:sz="0" w:space="0" w:color="auto"/>
            <w:bottom w:val="none" w:sz="0" w:space="0" w:color="auto"/>
            <w:right w:val="none" w:sz="0" w:space="0" w:color="auto"/>
          </w:divBdr>
          <w:divsChild>
            <w:div w:id="1984889847">
              <w:marLeft w:val="0"/>
              <w:marRight w:val="0"/>
              <w:marTop w:val="0"/>
              <w:marBottom w:val="0"/>
              <w:divBdr>
                <w:top w:val="none" w:sz="0" w:space="0" w:color="auto"/>
                <w:left w:val="none" w:sz="0" w:space="0" w:color="auto"/>
                <w:bottom w:val="none" w:sz="0" w:space="0" w:color="auto"/>
                <w:right w:val="none" w:sz="0" w:space="0" w:color="auto"/>
              </w:divBdr>
              <w:divsChild>
                <w:div w:id="35593388">
                  <w:marLeft w:val="0"/>
                  <w:marRight w:val="0"/>
                  <w:marTop w:val="0"/>
                  <w:marBottom w:val="0"/>
                  <w:divBdr>
                    <w:top w:val="none" w:sz="0" w:space="0" w:color="auto"/>
                    <w:left w:val="none" w:sz="0" w:space="0" w:color="auto"/>
                    <w:bottom w:val="none" w:sz="0" w:space="0" w:color="auto"/>
                    <w:right w:val="none" w:sz="0" w:space="0" w:color="auto"/>
                  </w:divBdr>
                </w:div>
                <w:div w:id="181476754">
                  <w:marLeft w:val="0"/>
                  <w:marRight w:val="0"/>
                  <w:marTop w:val="0"/>
                  <w:marBottom w:val="0"/>
                  <w:divBdr>
                    <w:top w:val="none" w:sz="0" w:space="0" w:color="auto"/>
                    <w:left w:val="none" w:sz="0" w:space="0" w:color="auto"/>
                    <w:bottom w:val="none" w:sz="0" w:space="0" w:color="auto"/>
                    <w:right w:val="none" w:sz="0" w:space="0" w:color="auto"/>
                  </w:divBdr>
                </w:div>
                <w:div w:id="1887832505">
                  <w:marLeft w:val="0"/>
                  <w:marRight w:val="0"/>
                  <w:marTop w:val="0"/>
                  <w:marBottom w:val="0"/>
                  <w:divBdr>
                    <w:top w:val="none" w:sz="0" w:space="0" w:color="auto"/>
                    <w:left w:val="none" w:sz="0" w:space="0" w:color="auto"/>
                    <w:bottom w:val="none" w:sz="0" w:space="0" w:color="auto"/>
                    <w:right w:val="none" w:sz="0" w:space="0" w:color="auto"/>
                  </w:divBdr>
                </w:div>
              </w:divsChild>
            </w:div>
            <w:div w:id="1348018200">
              <w:marLeft w:val="0"/>
              <w:marRight w:val="0"/>
              <w:marTop w:val="0"/>
              <w:marBottom w:val="0"/>
              <w:divBdr>
                <w:top w:val="none" w:sz="0" w:space="0" w:color="auto"/>
                <w:left w:val="none" w:sz="0" w:space="0" w:color="auto"/>
                <w:bottom w:val="none" w:sz="0" w:space="0" w:color="auto"/>
                <w:right w:val="none" w:sz="0" w:space="0" w:color="auto"/>
              </w:divBdr>
              <w:divsChild>
                <w:div w:id="415635573">
                  <w:marLeft w:val="0"/>
                  <w:marRight w:val="0"/>
                  <w:marTop w:val="0"/>
                  <w:marBottom w:val="0"/>
                  <w:divBdr>
                    <w:top w:val="none" w:sz="0" w:space="0" w:color="auto"/>
                    <w:left w:val="none" w:sz="0" w:space="0" w:color="auto"/>
                    <w:bottom w:val="none" w:sz="0" w:space="0" w:color="auto"/>
                    <w:right w:val="none" w:sz="0" w:space="0" w:color="auto"/>
                  </w:divBdr>
                </w:div>
              </w:divsChild>
            </w:div>
            <w:div w:id="1243756043">
              <w:marLeft w:val="0"/>
              <w:marRight w:val="0"/>
              <w:marTop w:val="0"/>
              <w:marBottom w:val="0"/>
              <w:divBdr>
                <w:top w:val="none" w:sz="0" w:space="0" w:color="auto"/>
                <w:left w:val="none" w:sz="0" w:space="0" w:color="auto"/>
                <w:bottom w:val="none" w:sz="0" w:space="0" w:color="auto"/>
                <w:right w:val="none" w:sz="0" w:space="0" w:color="auto"/>
              </w:divBdr>
              <w:divsChild>
                <w:div w:id="4001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4998">
      <w:bodyDiv w:val="1"/>
      <w:marLeft w:val="0"/>
      <w:marRight w:val="0"/>
      <w:marTop w:val="0"/>
      <w:marBottom w:val="0"/>
      <w:divBdr>
        <w:top w:val="none" w:sz="0" w:space="0" w:color="auto"/>
        <w:left w:val="none" w:sz="0" w:space="0" w:color="auto"/>
        <w:bottom w:val="none" w:sz="0" w:space="0" w:color="auto"/>
        <w:right w:val="none" w:sz="0" w:space="0" w:color="auto"/>
      </w:divBdr>
      <w:divsChild>
        <w:div w:id="1512993363">
          <w:marLeft w:val="0"/>
          <w:marRight w:val="0"/>
          <w:marTop w:val="0"/>
          <w:marBottom w:val="0"/>
          <w:divBdr>
            <w:top w:val="none" w:sz="0" w:space="0" w:color="auto"/>
            <w:left w:val="none" w:sz="0" w:space="0" w:color="auto"/>
            <w:bottom w:val="none" w:sz="0" w:space="0" w:color="auto"/>
            <w:right w:val="none" w:sz="0" w:space="0" w:color="auto"/>
          </w:divBdr>
        </w:div>
        <w:div w:id="2131699570">
          <w:marLeft w:val="0"/>
          <w:marRight w:val="0"/>
          <w:marTop w:val="0"/>
          <w:marBottom w:val="0"/>
          <w:divBdr>
            <w:top w:val="none" w:sz="0" w:space="0" w:color="auto"/>
            <w:left w:val="none" w:sz="0" w:space="0" w:color="auto"/>
            <w:bottom w:val="none" w:sz="0" w:space="0" w:color="auto"/>
            <w:right w:val="none" w:sz="0" w:space="0" w:color="auto"/>
          </w:divBdr>
        </w:div>
      </w:divsChild>
    </w:div>
    <w:div w:id="357465322">
      <w:bodyDiv w:val="1"/>
      <w:marLeft w:val="0"/>
      <w:marRight w:val="0"/>
      <w:marTop w:val="0"/>
      <w:marBottom w:val="0"/>
      <w:divBdr>
        <w:top w:val="none" w:sz="0" w:space="0" w:color="auto"/>
        <w:left w:val="none" w:sz="0" w:space="0" w:color="auto"/>
        <w:bottom w:val="none" w:sz="0" w:space="0" w:color="auto"/>
        <w:right w:val="none" w:sz="0" w:space="0" w:color="auto"/>
      </w:divBdr>
    </w:div>
    <w:div w:id="498816119">
      <w:bodyDiv w:val="1"/>
      <w:marLeft w:val="0"/>
      <w:marRight w:val="0"/>
      <w:marTop w:val="0"/>
      <w:marBottom w:val="0"/>
      <w:divBdr>
        <w:top w:val="none" w:sz="0" w:space="0" w:color="auto"/>
        <w:left w:val="none" w:sz="0" w:space="0" w:color="auto"/>
        <w:bottom w:val="none" w:sz="0" w:space="0" w:color="auto"/>
        <w:right w:val="none" w:sz="0" w:space="0" w:color="auto"/>
      </w:divBdr>
      <w:divsChild>
        <w:div w:id="667975413">
          <w:marLeft w:val="0"/>
          <w:marRight w:val="0"/>
          <w:marTop w:val="0"/>
          <w:marBottom w:val="0"/>
          <w:divBdr>
            <w:top w:val="none" w:sz="0" w:space="0" w:color="auto"/>
            <w:left w:val="none" w:sz="0" w:space="0" w:color="auto"/>
            <w:bottom w:val="none" w:sz="0" w:space="0" w:color="auto"/>
            <w:right w:val="none" w:sz="0" w:space="0" w:color="auto"/>
          </w:divBdr>
          <w:divsChild>
            <w:div w:id="1654799549">
              <w:marLeft w:val="0"/>
              <w:marRight w:val="0"/>
              <w:marTop w:val="0"/>
              <w:marBottom w:val="0"/>
              <w:divBdr>
                <w:top w:val="none" w:sz="0" w:space="0" w:color="auto"/>
                <w:left w:val="none" w:sz="0" w:space="0" w:color="auto"/>
                <w:bottom w:val="none" w:sz="0" w:space="0" w:color="auto"/>
                <w:right w:val="none" w:sz="0" w:space="0" w:color="auto"/>
              </w:divBdr>
              <w:divsChild>
                <w:div w:id="212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0878">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sChild>
        <w:div w:id="1856261350">
          <w:marLeft w:val="547"/>
          <w:marRight w:val="0"/>
          <w:marTop w:val="0"/>
          <w:marBottom w:val="0"/>
          <w:divBdr>
            <w:top w:val="none" w:sz="0" w:space="0" w:color="auto"/>
            <w:left w:val="none" w:sz="0" w:space="0" w:color="auto"/>
            <w:bottom w:val="none" w:sz="0" w:space="0" w:color="auto"/>
            <w:right w:val="none" w:sz="0" w:space="0" w:color="auto"/>
          </w:divBdr>
        </w:div>
      </w:divsChild>
    </w:div>
    <w:div w:id="799149637">
      <w:bodyDiv w:val="1"/>
      <w:marLeft w:val="0"/>
      <w:marRight w:val="0"/>
      <w:marTop w:val="0"/>
      <w:marBottom w:val="0"/>
      <w:divBdr>
        <w:top w:val="none" w:sz="0" w:space="0" w:color="auto"/>
        <w:left w:val="none" w:sz="0" w:space="0" w:color="auto"/>
        <w:bottom w:val="none" w:sz="0" w:space="0" w:color="auto"/>
        <w:right w:val="none" w:sz="0" w:space="0" w:color="auto"/>
      </w:divBdr>
      <w:divsChild>
        <w:div w:id="29301823">
          <w:marLeft w:val="547"/>
          <w:marRight w:val="0"/>
          <w:marTop w:val="0"/>
          <w:marBottom w:val="0"/>
          <w:divBdr>
            <w:top w:val="none" w:sz="0" w:space="0" w:color="auto"/>
            <w:left w:val="none" w:sz="0" w:space="0" w:color="auto"/>
            <w:bottom w:val="none" w:sz="0" w:space="0" w:color="auto"/>
            <w:right w:val="none" w:sz="0" w:space="0" w:color="auto"/>
          </w:divBdr>
        </w:div>
      </w:divsChild>
    </w:div>
    <w:div w:id="801339959">
      <w:bodyDiv w:val="1"/>
      <w:marLeft w:val="0"/>
      <w:marRight w:val="0"/>
      <w:marTop w:val="0"/>
      <w:marBottom w:val="0"/>
      <w:divBdr>
        <w:top w:val="none" w:sz="0" w:space="0" w:color="auto"/>
        <w:left w:val="none" w:sz="0" w:space="0" w:color="auto"/>
        <w:bottom w:val="none" w:sz="0" w:space="0" w:color="auto"/>
        <w:right w:val="none" w:sz="0" w:space="0" w:color="auto"/>
      </w:divBdr>
    </w:div>
    <w:div w:id="987249130">
      <w:bodyDiv w:val="1"/>
      <w:marLeft w:val="0"/>
      <w:marRight w:val="0"/>
      <w:marTop w:val="0"/>
      <w:marBottom w:val="0"/>
      <w:divBdr>
        <w:top w:val="none" w:sz="0" w:space="0" w:color="auto"/>
        <w:left w:val="none" w:sz="0" w:space="0" w:color="auto"/>
        <w:bottom w:val="none" w:sz="0" w:space="0" w:color="auto"/>
        <w:right w:val="none" w:sz="0" w:space="0" w:color="auto"/>
      </w:divBdr>
      <w:divsChild>
        <w:div w:id="674302260">
          <w:marLeft w:val="547"/>
          <w:marRight w:val="0"/>
          <w:marTop w:val="0"/>
          <w:marBottom w:val="0"/>
          <w:divBdr>
            <w:top w:val="none" w:sz="0" w:space="0" w:color="auto"/>
            <w:left w:val="none" w:sz="0" w:space="0" w:color="auto"/>
            <w:bottom w:val="none" w:sz="0" w:space="0" w:color="auto"/>
            <w:right w:val="none" w:sz="0" w:space="0" w:color="auto"/>
          </w:divBdr>
        </w:div>
        <w:div w:id="141123627">
          <w:marLeft w:val="1166"/>
          <w:marRight w:val="0"/>
          <w:marTop w:val="0"/>
          <w:marBottom w:val="0"/>
          <w:divBdr>
            <w:top w:val="none" w:sz="0" w:space="0" w:color="auto"/>
            <w:left w:val="none" w:sz="0" w:space="0" w:color="auto"/>
            <w:bottom w:val="none" w:sz="0" w:space="0" w:color="auto"/>
            <w:right w:val="none" w:sz="0" w:space="0" w:color="auto"/>
          </w:divBdr>
        </w:div>
        <w:div w:id="31613177">
          <w:marLeft w:val="1166"/>
          <w:marRight w:val="0"/>
          <w:marTop w:val="0"/>
          <w:marBottom w:val="0"/>
          <w:divBdr>
            <w:top w:val="none" w:sz="0" w:space="0" w:color="auto"/>
            <w:left w:val="none" w:sz="0" w:space="0" w:color="auto"/>
            <w:bottom w:val="none" w:sz="0" w:space="0" w:color="auto"/>
            <w:right w:val="none" w:sz="0" w:space="0" w:color="auto"/>
          </w:divBdr>
        </w:div>
        <w:div w:id="1489713317">
          <w:marLeft w:val="1166"/>
          <w:marRight w:val="0"/>
          <w:marTop w:val="0"/>
          <w:marBottom w:val="0"/>
          <w:divBdr>
            <w:top w:val="none" w:sz="0" w:space="0" w:color="auto"/>
            <w:left w:val="none" w:sz="0" w:space="0" w:color="auto"/>
            <w:bottom w:val="none" w:sz="0" w:space="0" w:color="auto"/>
            <w:right w:val="none" w:sz="0" w:space="0" w:color="auto"/>
          </w:divBdr>
        </w:div>
        <w:div w:id="828866247">
          <w:marLeft w:val="1166"/>
          <w:marRight w:val="0"/>
          <w:marTop w:val="0"/>
          <w:marBottom w:val="0"/>
          <w:divBdr>
            <w:top w:val="none" w:sz="0" w:space="0" w:color="auto"/>
            <w:left w:val="none" w:sz="0" w:space="0" w:color="auto"/>
            <w:bottom w:val="none" w:sz="0" w:space="0" w:color="auto"/>
            <w:right w:val="none" w:sz="0" w:space="0" w:color="auto"/>
          </w:divBdr>
        </w:div>
      </w:divsChild>
    </w:div>
    <w:div w:id="1024938668">
      <w:bodyDiv w:val="1"/>
      <w:marLeft w:val="0"/>
      <w:marRight w:val="0"/>
      <w:marTop w:val="0"/>
      <w:marBottom w:val="0"/>
      <w:divBdr>
        <w:top w:val="none" w:sz="0" w:space="0" w:color="auto"/>
        <w:left w:val="none" w:sz="0" w:space="0" w:color="auto"/>
        <w:bottom w:val="none" w:sz="0" w:space="0" w:color="auto"/>
        <w:right w:val="none" w:sz="0" w:space="0" w:color="auto"/>
      </w:divBdr>
    </w:div>
    <w:div w:id="1025520809">
      <w:bodyDiv w:val="1"/>
      <w:marLeft w:val="0"/>
      <w:marRight w:val="0"/>
      <w:marTop w:val="0"/>
      <w:marBottom w:val="0"/>
      <w:divBdr>
        <w:top w:val="none" w:sz="0" w:space="0" w:color="auto"/>
        <w:left w:val="none" w:sz="0" w:space="0" w:color="auto"/>
        <w:bottom w:val="none" w:sz="0" w:space="0" w:color="auto"/>
        <w:right w:val="none" w:sz="0" w:space="0" w:color="auto"/>
      </w:divBdr>
      <w:divsChild>
        <w:div w:id="1745448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503927">
      <w:bodyDiv w:val="1"/>
      <w:marLeft w:val="0"/>
      <w:marRight w:val="0"/>
      <w:marTop w:val="0"/>
      <w:marBottom w:val="0"/>
      <w:divBdr>
        <w:top w:val="none" w:sz="0" w:space="0" w:color="auto"/>
        <w:left w:val="none" w:sz="0" w:space="0" w:color="auto"/>
        <w:bottom w:val="none" w:sz="0" w:space="0" w:color="auto"/>
        <w:right w:val="none" w:sz="0" w:space="0" w:color="auto"/>
      </w:divBdr>
    </w:div>
    <w:div w:id="1263343132">
      <w:bodyDiv w:val="1"/>
      <w:marLeft w:val="0"/>
      <w:marRight w:val="0"/>
      <w:marTop w:val="0"/>
      <w:marBottom w:val="0"/>
      <w:divBdr>
        <w:top w:val="none" w:sz="0" w:space="0" w:color="auto"/>
        <w:left w:val="none" w:sz="0" w:space="0" w:color="auto"/>
        <w:bottom w:val="none" w:sz="0" w:space="0" w:color="auto"/>
        <w:right w:val="none" w:sz="0" w:space="0" w:color="auto"/>
      </w:divBdr>
    </w:div>
    <w:div w:id="1285844254">
      <w:bodyDiv w:val="1"/>
      <w:marLeft w:val="0"/>
      <w:marRight w:val="0"/>
      <w:marTop w:val="0"/>
      <w:marBottom w:val="0"/>
      <w:divBdr>
        <w:top w:val="none" w:sz="0" w:space="0" w:color="auto"/>
        <w:left w:val="none" w:sz="0" w:space="0" w:color="auto"/>
        <w:bottom w:val="none" w:sz="0" w:space="0" w:color="auto"/>
        <w:right w:val="none" w:sz="0" w:space="0" w:color="auto"/>
      </w:divBdr>
    </w:div>
    <w:div w:id="1369529081">
      <w:bodyDiv w:val="1"/>
      <w:marLeft w:val="0"/>
      <w:marRight w:val="0"/>
      <w:marTop w:val="0"/>
      <w:marBottom w:val="0"/>
      <w:divBdr>
        <w:top w:val="none" w:sz="0" w:space="0" w:color="auto"/>
        <w:left w:val="none" w:sz="0" w:space="0" w:color="auto"/>
        <w:bottom w:val="none" w:sz="0" w:space="0" w:color="auto"/>
        <w:right w:val="none" w:sz="0" w:space="0" w:color="auto"/>
      </w:divBdr>
    </w:div>
    <w:div w:id="1534270216">
      <w:bodyDiv w:val="1"/>
      <w:marLeft w:val="0"/>
      <w:marRight w:val="0"/>
      <w:marTop w:val="0"/>
      <w:marBottom w:val="0"/>
      <w:divBdr>
        <w:top w:val="none" w:sz="0" w:space="0" w:color="auto"/>
        <w:left w:val="none" w:sz="0" w:space="0" w:color="auto"/>
        <w:bottom w:val="none" w:sz="0" w:space="0" w:color="auto"/>
        <w:right w:val="none" w:sz="0" w:space="0" w:color="auto"/>
      </w:divBdr>
    </w:div>
    <w:div w:id="1615550602">
      <w:bodyDiv w:val="1"/>
      <w:marLeft w:val="0"/>
      <w:marRight w:val="0"/>
      <w:marTop w:val="0"/>
      <w:marBottom w:val="0"/>
      <w:divBdr>
        <w:top w:val="none" w:sz="0" w:space="0" w:color="auto"/>
        <w:left w:val="none" w:sz="0" w:space="0" w:color="auto"/>
        <w:bottom w:val="none" w:sz="0" w:space="0" w:color="auto"/>
        <w:right w:val="none" w:sz="0" w:space="0" w:color="auto"/>
      </w:divBdr>
      <w:divsChild>
        <w:div w:id="166987756">
          <w:marLeft w:val="547"/>
          <w:marRight w:val="0"/>
          <w:marTop w:val="0"/>
          <w:marBottom w:val="0"/>
          <w:divBdr>
            <w:top w:val="none" w:sz="0" w:space="0" w:color="auto"/>
            <w:left w:val="none" w:sz="0" w:space="0" w:color="auto"/>
            <w:bottom w:val="none" w:sz="0" w:space="0" w:color="auto"/>
            <w:right w:val="none" w:sz="0" w:space="0" w:color="auto"/>
          </w:divBdr>
        </w:div>
      </w:divsChild>
    </w:div>
    <w:div w:id="1718964460">
      <w:bodyDiv w:val="1"/>
      <w:marLeft w:val="0"/>
      <w:marRight w:val="0"/>
      <w:marTop w:val="0"/>
      <w:marBottom w:val="0"/>
      <w:divBdr>
        <w:top w:val="none" w:sz="0" w:space="0" w:color="auto"/>
        <w:left w:val="none" w:sz="0" w:space="0" w:color="auto"/>
        <w:bottom w:val="none" w:sz="0" w:space="0" w:color="auto"/>
        <w:right w:val="none" w:sz="0" w:space="0" w:color="auto"/>
      </w:divBdr>
      <w:divsChild>
        <w:div w:id="1168328632">
          <w:marLeft w:val="446"/>
          <w:marRight w:val="0"/>
          <w:marTop w:val="0"/>
          <w:marBottom w:val="0"/>
          <w:divBdr>
            <w:top w:val="none" w:sz="0" w:space="0" w:color="auto"/>
            <w:left w:val="none" w:sz="0" w:space="0" w:color="auto"/>
            <w:bottom w:val="none" w:sz="0" w:space="0" w:color="auto"/>
            <w:right w:val="none" w:sz="0" w:space="0" w:color="auto"/>
          </w:divBdr>
        </w:div>
        <w:div w:id="1212571334">
          <w:marLeft w:val="446"/>
          <w:marRight w:val="0"/>
          <w:marTop w:val="0"/>
          <w:marBottom w:val="0"/>
          <w:divBdr>
            <w:top w:val="none" w:sz="0" w:space="0" w:color="auto"/>
            <w:left w:val="none" w:sz="0" w:space="0" w:color="auto"/>
            <w:bottom w:val="none" w:sz="0" w:space="0" w:color="auto"/>
            <w:right w:val="none" w:sz="0" w:space="0" w:color="auto"/>
          </w:divBdr>
        </w:div>
        <w:div w:id="2019964950">
          <w:marLeft w:val="446"/>
          <w:marRight w:val="0"/>
          <w:marTop w:val="0"/>
          <w:marBottom w:val="0"/>
          <w:divBdr>
            <w:top w:val="none" w:sz="0" w:space="0" w:color="auto"/>
            <w:left w:val="none" w:sz="0" w:space="0" w:color="auto"/>
            <w:bottom w:val="none" w:sz="0" w:space="0" w:color="auto"/>
            <w:right w:val="none" w:sz="0" w:space="0" w:color="auto"/>
          </w:divBdr>
        </w:div>
        <w:div w:id="2132741290">
          <w:marLeft w:val="446"/>
          <w:marRight w:val="0"/>
          <w:marTop w:val="0"/>
          <w:marBottom w:val="0"/>
          <w:divBdr>
            <w:top w:val="none" w:sz="0" w:space="0" w:color="auto"/>
            <w:left w:val="none" w:sz="0" w:space="0" w:color="auto"/>
            <w:bottom w:val="none" w:sz="0" w:space="0" w:color="auto"/>
            <w:right w:val="none" w:sz="0" w:space="0" w:color="auto"/>
          </w:divBdr>
        </w:div>
      </w:divsChild>
    </w:div>
    <w:div w:id="1842773337">
      <w:bodyDiv w:val="1"/>
      <w:marLeft w:val="0"/>
      <w:marRight w:val="0"/>
      <w:marTop w:val="0"/>
      <w:marBottom w:val="0"/>
      <w:divBdr>
        <w:top w:val="none" w:sz="0" w:space="0" w:color="auto"/>
        <w:left w:val="none" w:sz="0" w:space="0" w:color="auto"/>
        <w:bottom w:val="none" w:sz="0" w:space="0" w:color="auto"/>
        <w:right w:val="none" w:sz="0" w:space="0" w:color="auto"/>
      </w:divBdr>
    </w:div>
    <w:div w:id="1889873078">
      <w:bodyDiv w:val="1"/>
      <w:marLeft w:val="0"/>
      <w:marRight w:val="0"/>
      <w:marTop w:val="0"/>
      <w:marBottom w:val="0"/>
      <w:divBdr>
        <w:top w:val="none" w:sz="0" w:space="0" w:color="auto"/>
        <w:left w:val="none" w:sz="0" w:space="0" w:color="auto"/>
        <w:bottom w:val="none" w:sz="0" w:space="0" w:color="auto"/>
        <w:right w:val="none" w:sz="0" w:space="0" w:color="auto"/>
      </w:divBdr>
      <w:divsChild>
        <w:div w:id="580139500">
          <w:marLeft w:val="547"/>
          <w:marRight w:val="0"/>
          <w:marTop w:val="0"/>
          <w:marBottom w:val="0"/>
          <w:divBdr>
            <w:top w:val="none" w:sz="0" w:space="0" w:color="auto"/>
            <w:left w:val="none" w:sz="0" w:space="0" w:color="auto"/>
            <w:bottom w:val="none" w:sz="0" w:space="0" w:color="auto"/>
            <w:right w:val="none" w:sz="0" w:space="0" w:color="auto"/>
          </w:divBdr>
        </w:div>
        <w:div w:id="666707713">
          <w:marLeft w:val="547"/>
          <w:marRight w:val="0"/>
          <w:marTop w:val="0"/>
          <w:marBottom w:val="0"/>
          <w:divBdr>
            <w:top w:val="none" w:sz="0" w:space="0" w:color="auto"/>
            <w:left w:val="none" w:sz="0" w:space="0" w:color="auto"/>
            <w:bottom w:val="none" w:sz="0" w:space="0" w:color="auto"/>
            <w:right w:val="none" w:sz="0" w:space="0" w:color="auto"/>
          </w:divBdr>
        </w:div>
        <w:div w:id="763190521">
          <w:marLeft w:val="547"/>
          <w:marRight w:val="0"/>
          <w:marTop w:val="0"/>
          <w:marBottom w:val="0"/>
          <w:divBdr>
            <w:top w:val="none" w:sz="0" w:space="0" w:color="auto"/>
            <w:left w:val="none" w:sz="0" w:space="0" w:color="auto"/>
            <w:bottom w:val="none" w:sz="0" w:space="0" w:color="auto"/>
            <w:right w:val="none" w:sz="0" w:space="0" w:color="auto"/>
          </w:divBdr>
        </w:div>
        <w:div w:id="1250314547">
          <w:marLeft w:val="547"/>
          <w:marRight w:val="0"/>
          <w:marTop w:val="0"/>
          <w:marBottom w:val="0"/>
          <w:divBdr>
            <w:top w:val="none" w:sz="0" w:space="0" w:color="auto"/>
            <w:left w:val="none" w:sz="0" w:space="0" w:color="auto"/>
            <w:bottom w:val="none" w:sz="0" w:space="0" w:color="auto"/>
            <w:right w:val="none" w:sz="0" w:space="0" w:color="auto"/>
          </w:divBdr>
        </w:div>
        <w:div w:id="1312445390">
          <w:marLeft w:val="547"/>
          <w:marRight w:val="0"/>
          <w:marTop w:val="0"/>
          <w:marBottom w:val="0"/>
          <w:divBdr>
            <w:top w:val="none" w:sz="0" w:space="0" w:color="auto"/>
            <w:left w:val="none" w:sz="0" w:space="0" w:color="auto"/>
            <w:bottom w:val="none" w:sz="0" w:space="0" w:color="auto"/>
            <w:right w:val="none" w:sz="0" w:space="0" w:color="auto"/>
          </w:divBdr>
        </w:div>
        <w:div w:id="1938248159">
          <w:marLeft w:val="547"/>
          <w:marRight w:val="0"/>
          <w:marTop w:val="0"/>
          <w:marBottom w:val="0"/>
          <w:divBdr>
            <w:top w:val="none" w:sz="0" w:space="0" w:color="auto"/>
            <w:left w:val="none" w:sz="0" w:space="0" w:color="auto"/>
            <w:bottom w:val="none" w:sz="0" w:space="0" w:color="auto"/>
            <w:right w:val="none" w:sz="0" w:space="0" w:color="auto"/>
          </w:divBdr>
        </w:div>
        <w:div w:id="2140102877">
          <w:marLeft w:val="547"/>
          <w:marRight w:val="0"/>
          <w:marTop w:val="0"/>
          <w:marBottom w:val="0"/>
          <w:divBdr>
            <w:top w:val="none" w:sz="0" w:space="0" w:color="auto"/>
            <w:left w:val="none" w:sz="0" w:space="0" w:color="auto"/>
            <w:bottom w:val="none" w:sz="0" w:space="0" w:color="auto"/>
            <w:right w:val="none" w:sz="0" w:space="0" w:color="auto"/>
          </w:divBdr>
        </w:div>
      </w:divsChild>
    </w:div>
    <w:div w:id="1925142306">
      <w:bodyDiv w:val="1"/>
      <w:marLeft w:val="0"/>
      <w:marRight w:val="0"/>
      <w:marTop w:val="0"/>
      <w:marBottom w:val="0"/>
      <w:divBdr>
        <w:top w:val="none" w:sz="0" w:space="0" w:color="auto"/>
        <w:left w:val="none" w:sz="0" w:space="0" w:color="auto"/>
        <w:bottom w:val="none" w:sz="0" w:space="0" w:color="auto"/>
        <w:right w:val="none" w:sz="0" w:space="0" w:color="auto"/>
      </w:divBdr>
      <w:divsChild>
        <w:div w:id="1245146856">
          <w:marLeft w:val="0"/>
          <w:marRight w:val="0"/>
          <w:marTop w:val="0"/>
          <w:marBottom w:val="0"/>
          <w:divBdr>
            <w:top w:val="none" w:sz="0" w:space="0" w:color="auto"/>
            <w:left w:val="none" w:sz="0" w:space="0" w:color="auto"/>
            <w:bottom w:val="none" w:sz="0" w:space="0" w:color="auto"/>
            <w:right w:val="none" w:sz="0" w:space="0" w:color="auto"/>
          </w:divBdr>
          <w:divsChild>
            <w:div w:id="1197817322">
              <w:marLeft w:val="0"/>
              <w:marRight w:val="0"/>
              <w:marTop w:val="0"/>
              <w:marBottom w:val="0"/>
              <w:divBdr>
                <w:top w:val="none" w:sz="0" w:space="0" w:color="auto"/>
                <w:left w:val="none" w:sz="0" w:space="0" w:color="auto"/>
                <w:bottom w:val="none" w:sz="0" w:space="0" w:color="auto"/>
                <w:right w:val="none" w:sz="0" w:space="0" w:color="auto"/>
              </w:divBdr>
              <w:divsChild>
                <w:div w:id="1979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6841">
      <w:bodyDiv w:val="1"/>
      <w:marLeft w:val="0"/>
      <w:marRight w:val="0"/>
      <w:marTop w:val="0"/>
      <w:marBottom w:val="0"/>
      <w:divBdr>
        <w:top w:val="none" w:sz="0" w:space="0" w:color="auto"/>
        <w:left w:val="none" w:sz="0" w:space="0" w:color="auto"/>
        <w:bottom w:val="none" w:sz="0" w:space="0" w:color="auto"/>
        <w:right w:val="none" w:sz="0" w:space="0" w:color="auto"/>
      </w:divBdr>
      <w:divsChild>
        <w:div w:id="86509057">
          <w:marLeft w:val="547"/>
          <w:marRight w:val="0"/>
          <w:marTop w:val="0"/>
          <w:marBottom w:val="0"/>
          <w:divBdr>
            <w:top w:val="none" w:sz="0" w:space="0" w:color="auto"/>
            <w:left w:val="none" w:sz="0" w:space="0" w:color="auto"/>
            <w:bottom w:val="none" w:sz="0" w:space="0" w:color="auto"/>
            <w:right w:val="none" w:sz="0" w:space="0" w:color="auto"/>
          </w:divBdr>
        </w:div>
        <w:div w:id="231088627">
          <w:marLeft w:val="547"/>
          <w:marRight w:val="0"/>
          <w:marTop w:val="0"/>
          <w:marBottom w:val="0"/>
          <w:divBdr>
            <w:top w:val="none" w:sz="0" w:space="0" w:color="auto"/>
            <w:left w:val="none" w:sz="0" w:space="0" w:color="auto"/>
            <w:bottom w:val="none" w:sz="0" w:space="0" w:color="auto"/>
            <w:right w:val="none" w:sz="0" w:space="0" w:color="auto"/>
          </w:divBdr>
        </w:div>
        <w:div w:id="1746950157">
          <w:marLeft w:val="547"/>
          <w:marRight w:val="0"/>
          <w:marTop w:val="0"/>
          <w:marBottom w:val="0"/>
          <w:divBdr>
            <w:top w:val="none" w:sz="0" w:space="0" w:color="auto"/>
            <w:left w:val="none" w:sz="0" w:space="0" w:color="auto"/>
            <w:bottom w:val="none" w:sz="0" w:space="0" w:color="auto"/>
            <w:right w:val="none" w:sz="0" w:space="0" w:color="auto"/>
          </w:divBdr>
        </w:div>
      </w:divsChild>
    </w:div>
    <w:div w:id="2028555364">
      <w:bodyDiv w:val="1"/>
      <w:marLeft w:val="0"/>
      <w:marRight w:val="0"/>
      <w:marTop w:val="0"/>
      <w:marBottom w:val="0"/>
      <w:divBdr>
        <w:top w:val="none" w:sz="0" w:space="0" w:color="auto"/>
        <w:left w:val="none" w:sz="0" w:space="0" w:color="auto"/>
        <w:bottom w:val="none" w:sz="0" w:space="0" w:color="auto"/>
        <w:right w:val="none" w:sz="0" w:space="0" w:color="auto"/>
      </w:divBdr>
      <w:divsChild>
        <w:div w:id="257567136">
          <w:marLeft w:val="360"/>
          <w:marRight w:val="0"/>
          <w:marTop w:val="0"/>
          <w:marBottom w:val="0"/>
          <w:divBdr>
            <w:top w:val="none" w:sz="0" w:space="0" w:color="auto"/>
            <w:left w:val="none" w:sz="0" w:space="0" w:color="auto"/>
            <w:bottom w:val="none" w:sz="0" w:space="0" w:color="auto"/>
            <w:right w:val="none" w:sz="0" w:space="0" w:color="auto"/>
          </w:divBdr>
        </w:div>
        <w:div w:id="563298687">
          <w:marLeft w:val="360"/>
          <w:marRight w:val="0"/>
          <w:marTop w:val="0"/>
          <w:marBottom w:val="0"/>
          <w:divBdr>
            <w:top w:val="none" w:sz="0" w:space="0" w:color="auto"/>
            <w:left w:val="none" w:sz="0" w:space="0" w:color="auto"/>
            <w:bottom w:val="none" w:sz="0" w:space="0" w:color="auto"/>
            <w:right w:val="none" w:sz="0" w:space="0" w:color="auto"/>
          </w:divBdr>
        </w:div>
        <w:div w:id="772437129">
          <w:marLeft w:val="360"/>
          <w:marRight w:val="0"/>
          <w:marTop w:val="0"/>
          <w:marBottom w:val="0"/>
          <w:divBdr>
            <w:top w:val="none" w:sz="0" w:space="0" w:color="auto"/>
            <w:left w:val="none" w:sz="0" w:space="0" w:color="auto"/>
            <w:bottom w:val="none" w:sz="0" w:space="0" w:color="auto"/>
            <w:right w:val="none" w:sz="0" w:space="0" w:color="auto"/>
          </w:divBdr>
        </w:div>
        <w:div w:id="993876674">
          <w:marLeft w:val="360"/>
          <w:marRight w:val="0"/>
          <w:marTop w:val="0"/>
          <w:marBottom w:val="0"/>
          <w:divBdr>
            <w:top w:val="none" w:sz="0" w:space="0" w:color="auto"/>
            <w:left w:val="none" w:sz="0" w:space="0" w:color="auto"/>
            <w:bottom w:val="none" w:sz="0" w:space="0" w:color="auto"/>
            <w:right w:val="none" w:sz="0" w:space="0" w:color="auto"/>
          </w:divBdr>
        </w:div>
        <w:div w:id="1052509640">
          <w:marLeft w:val="360"/>
          <w:marRight w:val="0"/>
          <w:marTop w:val="0"/>
          <w:marBottom w:val="0"/>
          <w:divBdr>
            <w:top w:val="none" w:sz="0" w:space="0" w:color="auto"/>
            <w:left w:val="none" w:sz="0" w:space="0" w:color="auto"/>
            <w:bottom w:val="none" w:sz="0" w:space="0" w:color="auto"/>
            <w:right w:val="none" w:sz="0" w:space="0" w:color="auto"/>
          </w:divBdr>
        </w:div>
        <w:div w:id="1181117987">
          <w:marLeft w:val="360"/>
          <w:marRight w:val="0"/>
          <w:marTop w:val="0"/>
          <w:marBottom w:val="0"/>
          <w:divBdr>
            <w:top w:val="none" w:sz="0" w:space="0" w:color="auto"/>
            <w:left w:val="none" w:sz="0" w:space="0" w:color="auto"/>
            <w:bottom w:val="none" w:sz="0" w:space="0" w:color="auto"/>
            <w:right w:val="none" w:sz="0" w:space="0" w:color="auto"/>
          </w:divBdr>
        </w:div>
        <w:div w:id="1376391013">
          <w:marLeft w:val="360"/>
          <w:marRight w:val="0"/>
          <w:marTop w:val="0"/>
          <w:marBottom w:val="0"/>
          <w:divBdr>
            <w:top w:val="none" w:sz="0" w:space="0" w:color="auto"/>
            <w:left w:val="none" w:sz="0" w:space="0" w:color="auto"/>
            <w:bottom w:val="none" w:sz="0" w:space="0" w:color="auto"/>
            <w:right w:val="none" w:sz="0" w:space="0" w:color="auto"/>
          </w:divBdr>
        </w:div>
        <w:div w:id="1406292956">
          <w:marLeft w:val="360"/>
          <w:marRight w:val="0"/>
          <w:marTop w:val="0"/>
          <w:marBottom w:val="0"/>
          <w:divBdr>
            <w:top w:val="none" w:sz="0" w:space="0" w:color="auto"/>
            <w:left w:val="none" w:sz="0" w:space="0" w:color="auto"/>
            <w:bottom w:val="none" w:sz="0" w:space="0" w:color="auto"/>
            <w:right w:val="none" w:sz="0" w:space="0" w:color="auto"/>
          </w:divBdr>
        </w:div>
        <w:div w:id="1503279619">
          <w:marLeft w:val="360"/>
          <w:marRight w:val="0"/>
          <w:marTop w:val="0"/>
          <w:marBottom w:val="0"/>
          <w:divBdr>
            <w:top w:val="none" w:sz="0" w:space="0" w:color="auto"/>
            <w:left w:val="none" w:sz="0" w:space="0" w:color="auto"/>
            <w:bottom w:val="none" w:sz="0" w:space="0" w:color="auto"/>
            <w:right w:val="none" w:sz="0" w:space="0" w:color="auto"/>
          </w:divBdr>
        </w:div>
        <w:div w:id="1567035439">
          <w:marLeft w:val="360"/>
          <w:marRight w:val="0"/>
          <w:marTop w:val="0"/>
          <w:marBottom w:val="0"/>
          <w:divBdr>
            <w:top w:val="none" w:sz="0" w:space="0" w:color="auto"/>
            <w:left w:val="none" w:sz="0" w:space="0" w:color="auto"/>
            <w:bottom w:val="none" w:sz="0" w:space="0" w:color="auto"/>
            <w:right w:val="none" w:sz="0" w:space="0" w:color="auto"/>
          </w:divBdr>
        </w:div>
        <w:div w:id="1598905063">
          <w:marLeft w:val="360"/>
          <w:marRight w:val="0"/>
          <w:marTop w:val="0"/>
          <w:marBottom w:val="0"/>
          <w:divBdr>
            <w:top w:val="none" w:sz="0" w:space="0" w:color="auto"/>
            <w:left w:val="none" w:sz="0" w:space="0" w:color="auto"/>
            <w:bottom w:val="none" w:sz="0" w:space="0" w:color="auto"/>
            <w:right w:val="none" w:sz="0" w:space="0" w:color="auto"/>
          </w:divBdr>
        </w:div>
        <w:div w:id="1695617840">
          <w:marLeft w:val="360"/>
          <w:marRight w:val="0"/>
          <w:marTop w:val="0"/>
          <w:marBottom w:val="0"/>
          <w:divBdr>
            <w:top w:val="none" w:sz="0" w:space="0" w:color="auto"/>
            <w:left w:val="none" w:sz="0" w:space="0" w:color="auto"/>
            <w:bottom w:val="none" w:sz="0" w:space="0" w:color="auto"/>
            <w:right w:val="none" w:sz="0" w:space="0" w:color="auto"/>
          </w:divBdr>
        </w:div>
        <w:div w:id="1841505198">
          <w:marLeft w:val="360"/>
          <w:marRight w:val="0"/>
          <w:marTop w:val="0"/>
          <w:marBottom w:val="0"/>
          <w:divBdr>
            <w:top w:val="none" w:sz="0" w:space="0" w:color="auto"/>
            <w:left w:val="none" w:sz="0" w:space="0" w:color="auto"/>
            <w:bottom w:val="none" w:sz="0" w:space="0" w:color="auto"/>
            <w:right w:val="none" w:sz="0" w:space="0" w:color="auto"/>
          </w:divBdr>
        </w:div>
        <w:div w:id="1850678603">
          <w:marLeft w:val="360"/>
          <w:marRight w:val="0"/>
          <w:marTop w:val="0"/>
          <w:marBottom w:val="0"/>
          <w:divBdr>
            <w:top w:val="none" w:sz="0" w:space="0" w:color="auto"/>
            <w:left w:val="none" w:sz="0" w:space="0" w:color="auto"/>
            <w:bottom w:val="none" w:sz="0" w:space="0" w:color="auto"/>
            <w:right w:val="none" w:sz="0" w:space="0" w:color="auto"/>
          </w:divBdr>
        </w:div>
        <w:div w:id="1875338463">
          <w:marLeft w:val="360"/>
          <w:marRight w:val="0"/>
          <w:marTop w:val="0"/>
          <w:marBottom w:val="0"/>
          <w:divBdr>
            <w:top w:val="none" w:sz="0" w:space="0" w:color="auto"/>
            <w:left w:val="none" w:sz="0" w:space="0" w:color="auto"/>
            <w:bottom w:val="none" w:sz="0" w:space="0" w:color="auto"/>
            <w:right w:val="none" w:sz="0" w:space="0" w:color="auto"/>
          </w:divBdr>
        </w:div>
        <w:div w:id="1882521830">
          <w:marLeft w:val="360"/>
          <w:marRight w:val="0"/>
          <w:marTop w:val="0"/>
          <w:marBottom w:val="0"/>
          <w:divBdr>
            <w:top w:val="none" w:sz="0" w:space="0" w:color="auto"/>
            <w:left w:val="none" w:sz="0" w:space="0" w:color="auto"/>
            <w:bottom w:val="none" w:sz="0" w:space="0" w:color="auto"/>
            <w:right w:val="none" w:sz="0" w:space="0" w:color="auto"/>
          </w:divBdr>
        </w:div>
        <w:div w:id="1911188626">
          <w:marLeft w:val="360"/>
          <w:marRight w:val="0"/>
          <w:marTop w:val="0"/>
          <w:marBottom w:val="0"/>
          <w:divBdr>
            <w:top w:val="none" w:sz="0" w:space="0" w:color="auto"/>
            <w:left w:val="none" w:sz="0" w:space="0" w:color="auto"/>
            <w:bottom w:val="none" w:sz="0" w:space="0" w:color="auto"/>
            <w:right w:val="none" w:sz="0" w:space="0" w:color="auto"/>
          </w:divBdr>
        </w:div>
        <w:div w:id="1957365656">
          <w:marLeft w:val="360"/>
          <w:marRight w:val="0"/>
          <w:marTop w:val="0"/>
          <w:marBottom w:val="0"/>
          <w:divBdr>
            <w:top w:val="none" w:sz="0" w:space="0" w:color="auto"/>
            <w:left w:val="none" w:sz="0" w:space="0" w:color="auto"/>
            <w:bottom w:val="none" w:sz="0" w:space="0" w:color="auto"/>
            <w:right w:val="none" w:sz="0" w:space="0" w:color="auto"/>
          </w:divBdr>
        </w:div>
      </w:divsChild>
    </w:div>
    <w:div w:id="2070958800">
      <w:bodyDiv w:val="1"/>
      <w:marLeft w:val="0"/>
      <w:marRight w:val="0"/>
      <w:marTop w:val="0"/>
      <w:marBottom w:val="0"/>
      <w:divBdr>
        <w:top w:val="none" w:sz="0" w:space="0" w:color="auto"/>
        <w:left w:val="none" w:sz="0" w:space="0" w:color="auto"/>
        <w:bottom w:val="none" w:sz="0" w:space="0" w:color="auto"/>
        <w:right w:val="none" w:sz="0" w:space="0" w:color="auto"/>
      </w:divBdr>
    </w:div>
    <w:div w:id="20718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oerafrica.org/resource/supporting-teaching-practice-manual-supervisors-and-mentors" TargetMode="External"/><Relationship Id="rId3" Type="http://schemas.openxmlformats.org/officeDocument/2006/relationships/styles" Target="styles.xml"/><Relationship Id="rId21" Type="http://schemas.openxmlformats.org/officeDocument/2006/relationships/hyperlink" Target="http://academic.regis.edu/ed205/kolb.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essafrica.net/NTI-Toolkit" TargetMode="External"/><Relationship Id="rId2" Type="http://schemas.openxmlformats.org/officeDocument/2006/relationships/numbering" Target="numbering.xml"/><Relationship Id="rId16" Type="http://schemas.openxmlformats.org/officeDocument/2006/relationships/hyperlink" Target="http://www.tessafrica.net/files/tessafrica/Briefing_note_general_June_2012.pdf" TargetMode="External"/><Relationship Id="rId20" Type="http://schemas.openxmlformats.org/officeDocument/2006/relationships/hyperlink" Target="http://complexworld.pbworks.com/f/Experience-based%20learn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ssafrica.net/files/tessafrica/Briefing_note_general_June_2012.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oerafrica.org/resource/supporting-teaching-practice-manual-supervisors-and-mento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enger-trayner.com/theor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DB74-55B4-46C1-A2B8-D20D4C04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9872</Words>
  <Characters>56271</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cp:lastModifiedBy>Samsung</cp:lastModifiedBy>
  <cp:revision>4</cp:revision>
  <cp:lastPrinted>2014-05-21T05:38:00Z</cp:lastPrinted>
  <dcterms:created xsi:type="dcterms:W3CDTF">2014-06-18T08:06:00Z</dcterms:created>
  <dcterms:modified xsi:type="dcterms:W3CDTF">2014-06-18T08:23:00Z</dcterms:modified>
</cp:coreProperties>
</file>